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color w:val="auto"/>
          <w:kern w:val="2"/>
          <w:sz w:val="21"/>
          <w:szCs w:val="22"/>
          <w:highlight w:val="yellow"/>
          <w:lang w:val="zh-CN"/>
        </w:rPr>
        <w:id w:val="1352917085"/>
        <w:docPartObj>
          <w:docPartGallery w:val="Table of Contents"/>
          <w:docPartUnique/>
        </w:docPartObj>
      </w:sdtPr>
      <w:sdtEndPr>
        <w:rPr>
          <w:rFonts w:asciiTheme="minorHAnsi" w:hAnsiTheme="minorHAnsi" w:eastAsiaTheme="minorEastAsia" w:cstheme="minorBidi"/>
          <w:b/>
          <w:bCs/>
          <w:color w:val="auto"/>
          <w:kern w:val="2"/>
          <w:sz w:val="21"/>
          <w:szCs w:val="22"/>
          <w:highlight w:val="yellow"/>
          <w:lang w:val="zh-CN"/>
        </w:rPr>
      </w:sdtEndPr>
      <w:sdtContent>
        <w:p>
          <w:pPr>
            <w:pStyle w:val="55"/>
            <w:spacing w:before="0" w:line="600" w:lineRule="exact"/>
            <w:jc w:val="center"/>
            <w:rPr>
              <w:rFonts w:ascii="宋体" w:hAnsi="宋体" w:eastAsia="宋体"/>
              <w:b/>
              <w:bCs/>
              <w:color w:val="000000" w:themeColor="text1"/>
              <w:highlight w:val="none"/>
              <w14:textFill>
                <w14:solidFill>
                  <w14:schemeClr w14:val="tx1"/>
                </w14:solidFill>
              </w14:textFill>
            </w:rPr>
          </w:pPr>
          <w:bookmarkStart w:id="0" w:name="_Hlk42509531"/>
          <w:bookmarkEnd w:id="0"/>
          <w:bookmarkStart w:id="1" w:name="_Toc45550599"/>
          <w:bookmarkStart w:id="2" w:name="_Toc45550046"/>
          <w:bookmarkStart w:id="3" w:name="_Toc8730"/>
          <w:bookmarkStart w:id="4" w:name="_Toc45550234"/>
          <w:bookmarkStart w:id="5" w:name="_Hlk525313924"/>
          <w:bookmarkStart w:id="6" w:name="_Toc42518784"/>
          <w:bookmarkStart w:id="7" w:name="_Toc42503816"/>
          <w:bookmarkStart w:id="8" w:name="_Toc45550622"/>
          <w:r>
            <w:rPr>
              <w:rFonts w:ascii="宋体" w:hAnsi="宋体" w:eastAsia="宋体"/>
              <w:b/>
              <w:bCs/>
              <w:color w:val="000000" w:themeColor="text1"/>
              <w:highlight w:val="none"/>
              <w:lang w:val="zh-CN"/>
              <w14:textFill>
                <w14:solidFill>
                  <w14:schemeClr w14:val="tx1"/>
                </w14:solidFill>
              </w14:textFill>
            </w:rPr>
            <w:t>目录</w:t>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rFonts w:cs="Times New Roman"/>
              <w:kern w:val="0"/>
              <w:sz w:val="22"/>
              <w:highlight w:val="none"/>
            </w:rPr>
            <w:fldChar w:fldCharType="begin"/>
          </w:r>
          <w:r>
            <w:rPr>
              <w:highlight w:val="none"/>
            </w:rPr>
            <w:instrText xml:space="preserve"> TOC \o "1-3" \h \z \u </w:instrText>
          </w:r>
          <w:r>
            <w:rPr>
              <w:rFonts w:cs="Times New Roman"/>
              <w:kern w:val="0"/>
              <w:sz w:val="22"/>
              <w:highlight w:val="none"/>
            </w:rPr>
            <w:fldChar w:fldCharType="separate"/>
          </w:r>
          <w:r>
            <w:rPr>
              <w:rFonts w:cs="Times New Roman"/>
              <w:kern w:val="0"/>
              <w:highlight w:val="none"/>
            </w:rPr>
            <w:fldChar w:fldCharType="begin"/>
          </w:r>
          <w:r>
            <w:rPr>
              <w:rFonts w:cs="Times New Roman"/>
              <w:kern w:val="0"/>
              <w:highlight w:val="none"/>
            </w:rPr>
            <w:instrText xml:space="preserve"> HYPERLINK \l _Toc30785 </w:instrText>
          </w:r>
          <w:r>
            <w:rPr>
              <w:rFonts w:cs="Times New Roman"/>
              <w:kern w:val="0"/>
              <w:highlight w:val="none"/>
            </w:rPr>
            <w:fldChar w:fldCharType="separate"/>
          </w:r>
          <w:r>
            <w:rPr>
              <w:rFonts w:hint="eastAsia" w:ascii="方正小标宋简体" w:eastAsia="方正小标宋简体"/>
              <w:szCs w:val="44"/>
              <w:highlight w:val="none"/>
              <w:shd w:val="clear" w:color="auto" w:fill="FFFFFF" w:themeFill="background1"/>
              <w:lang w:eastAsia="zh-CN"/>
            </w:rPr>
            <w:t>绩效评价报告摘要</w:t>
          </w:r>
          <w:r>
            <w:tab/>
          </w:r>
          <w:r>
            <w:rPr>
              <w:rFonts w:hint="eastAsia" w:ascii="方正小标宋简体" w:hAnsi="方正小标宋简体" w:eastAsia="方正小标宋简体" w:cs="方正小标宋简体"/>
            </w:rPr>
            <w:fldChar w:fldCharType="begin"/>
          </w:r>
          <w:r>
            <w:rPr>
              <w:rFonts w:hint="eastAsia" w:ascii="方正小标宋简体" w:hAnsi="方正小标宋简体" w:eastAsia="方正小标宋简体" w:cs="方正小标宋简体"/>
            </w:rPr>
            <w:instrText xml:space="preserve"> PAGEREF _Toc30785 \h </w:instrText>
          </w:r>
          <w:r>
            <w:rPr>
              <w:rFonts w:hint="eastAsia" w:ascii="方正小标宋简体" w:hAnsi="方正小标宋简体" w:eastAsia="方正小标宋简体" w:cs="方正小标宋简体"/>
            </w:rPr>
            <w:fldChar w:fldCharType="separate"/>
          </w:r>
          <w:r>
            <w:rPr>
              <w:rFonts w:hint="eastAsia" w:ascii="方正小标宋简体" w:hAnsi="方正小标宋简体" w:eastAsia="方正小标宋简体" w:cs="方正小标宋简体"/>
            </w:rPr>
            <w:t>i</w:t>
          </w:r>
          <w:r>
            <w:rPr>
              <w:rFonts w:hint="eastAsia" w:ascii="方正小标宋简体" w:hAnsi="方正小标宋简体" w:eastAsia="方正小标宋简体" w:cs="方正小标宋简体"/>
            </w:rPr>
            <w:fldChar w:fldCharType="end"/>
          </w:r>
          <w:r>
            <w:rPr>
              <w:rFonts w:cs="Times New Roman"/>
              <w:kern w:val="0"/>
              <w:highlight w:val="none"/>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_Toc14489 </w:instrText>
          </w:r>
          <w:r>
            <w:rPr>
              <w:bCs/>
              <w:highlight w:val="none"/>
              <w:lang w:val="zh-CN"/>
            </w:rPr>
            <w:fldChar w:fldCharType="separate"/>
          </w:r>
          <w:r>
            <w:rPr>
              <w:rFonts w:hint="eastAsia" w:ascii="方正小标宋简体" w:eastAsia="方正小标宋简体"/>
              <w:szCs w:val="44"/>
              <w:highlight w:val="none"/>
              <w:shd w:val="clear" w:color="auto" w:fill="FFFFFF" w:themeFill="background1"/>
            </w:rPr>
            <w:t>绩效评价报告正文</w:t>
          </w:r>
          <w:r>
            <w:tab/>
          </w:r>
          <w:r>
            <w:rPr>
              <w:rFonts w:hint="eastAsia" w:ascii="方正小标宋简体" w:hAnsi="方正小标宋简体" w:eastAsia="方正小标宋简体" w:cs="方正小标宋简体"/>
            </w:rPr>
            <w:fldChar w:fldCharType="begin"/>
          </w:r>
          <w:r>
            <w:rPr>
              <w:rFonts w:hint="eastAsia" w:ascii="方正小标宋简体" w:hAnsi="方正小标宋简体" w:eastAsia="方正小标宋简体" w:cs="方正小标宋简体"/>
            </w:rPr>
            <w:instrText xml:space="preserve"> PAGEREF _Toc14489 \h </w:instrText>
          </w:r>
          <w:r>
            <w:rPr>
              <w:rFonts w:hint="eastAsia" w:ascii="方正小标宋简体" w:hAnsi="方正小标宋简体" w:eastAsia="方正小标宋简体" w:cs="方正小标宋简体"/>
            </w:rPr>
            <w:fldChar w:fldCharType="separate"/>
          </w:r>
          <w:r>
            <w:rPr>
              <w:rFonts w:hint="eastAsia" w:ascii="方正小标宋简体" w:hAnsi="方正小标宋简体" w:eastAsia="方正小标宋简体" w:cs="方正小标宋简体"/>
            </w:rPr>
            <w:t>1</w:t>
          </w:r>
          <w:r>
            <w:rPr>
              <w:rFonts w:hint="eastAsia" w:ascii="方正小标宋简体" w:hAnsi="方正小标宋简体" w:eastAsia="方正小标宋简体" w:cs="方正小标宋简体"/>
            </w:rPr>
            <w:fldChar w:fldCharType="end"/>
          </w:r>
          <w:r>
            <w:rPr>
              <w:bCs/>
              <w:highlight w:val="none"/>
              <w:lang w:val="zh-CN"/>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_Toc16275 </w:instrText>
          </w:r>
          <w:r>
            <w:rPr>
              <w:bCs/>
              <w:highlight w:val="none"/>
              <w:lang w:val="zh-CN"/>
            </w:rPr>
            <w:fldChar w:fldCharType="separate"/>
          </w:r>
          <w:r>
            <w:rPr>
              <w:rFonts w:hint="eastAsia" w:ascii="黑体" w:hAnsi="宋体" w:eastAsia="黑体" w:cs="宋体"/>
              <w:szCs w:val="30"/>
              <w:highlight w:val="none"/>
              <w:shd w:val="clear" w:color="auto" w:fill="FFFFFF" w:themeFill="background1"/>
            </w:rPr>
            <w:t>一、项目基本情况</w:t>
          </w:r>
          <w:r>
            <w:tab/>
          </w:r>
          <w:r>
            <w:fldChar w:fldCharType="begin"/>
          </w:r>
          <w:r>
            <w:instrText xml:space="preserve"> PAGEREF _Toc16275 \h </w:instrText>
          </w:r>
          <w:r>
            <w:fldChar w:fldCharType="separate"/>
          </w:r>
          <w:r>
            <w:t>1</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_Toc17170 </w:instrText>
          </w:r>
          <w:r>
            <w:rPr>
              <w:bCs/>
              <w:highlight w:val="none"/>
              <w:lang w:val="zh-CN"/>
            </w:rPr>
            <w:fldChar w:fldCharType="separate"/>
          </w:r>
          <w:r>
            <w:rPr>
              <w:rFonts w:hint="eastAsia" w:ascii="楷体" w:hAnsi="楷体" w:eastAsia="楷体"/>
              <w:szCs w:val="30"/>
              <w:highlight w:val="none"/>
              <w:shd w:val="clear" w:color="auto" w:fill="FFFFFF" w:themeFill="background1"/>
            </w:rPr>
            <w:t>（一）项目名称</w:t>
          </w:r>
          <w:r>
            <w:tab/>
          </w:r>
          <w:r>
            <w:fldChar w:fldCharType="begin"/>
          </w:r>
          <w:r>
            <w:instrText xml:space="preserve"> PAGEREF _Toc17170 \h </w:instrText>
          </w:r>
          <w:r>
            <w:fldChar w:fldCharType="separate"/>
          </w:r>
          <w:r>
            <w:t>1</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_Toc24064 </w:instrText>
          </w:r>
          <w:r>
            <w:rPr>
              <w:bCs/>
              <w:highlight w:val="none"/>
              <w:lang w:val="zh-CN"/>
            </w:rPr>
            <w:fldChar w:fldCharType="separate"/>
          </w:r>
          <w:r>
            <w:rPr>
              <w:rFonts w:hint="eastAsia" w:ascii="楷体" w:hAnsi="楷体" w:eastAsia="楷体"/>
              <w:szCs w:val="30"/>
              <w:highlight w:val="none"/>
              <w:shd w:val="clear" w:color="auto" w:fill="FFFFFF" w:themeFill="background1"/>
            </w:rPr>
            <w:t>（二）项目主管部门</w:t>
          </w:r>
          <w:r>
            <w:rPr>
              <w:rFonts w:hint="eastAsia" w:ascii="楷体" w:hAnsi="楷体" w:eastAsia="楷体"/>
              <w:szCs w:val="30"/>
              <w:highlight w:val="none"/>
              <w:shd w:val="clear" w:color="auto" w:fill="FFFFFF" w:themeFill="background1"/>
              <w:lang w:val="en-US" w:eastAsia="zh-CN"/>
            </w:rPr>
            <w:t>和项目实施单位</w:t>
          </w:r>
          <w:r>
            <w:tab/>
          </w:r>
          <w:r>
            <w:fldChar w:fldCharType="begin"/>
          </w:r>
          <w:r>
            <w:instrText xml:space="preserve"> PAGEREF _Toc24064 \h </w:instrText>
          </w:r>
          <w:r>
            <w:fldChar w:fldCharType="separate"/>
          </w:r>
          <w:r>
            <w:t>1</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_Toc4323 </w:instrText>
          </w:r>
          <w:r>
            <w:rPr>
              <w:bCs/>
              <w:highlight w:val="none"/>
              <w:lang w:val="zh-CN"/>
            </w:rPr>
            <w:fldChar w:fldCharType="separate"/>
          </w:r>
          <w:r>
            <w:rPr>
              <w:rFonts w:hint="eastAsia" w:ascii="楷体" w:hAnsi="楷体" w:eastAsia="楷体"/>
              <w:szCs w:val="30"/>
              <w:highlight w:val="none"/>
              <w:shd w:val="clear" w:color="auto" w:fill="FFFFFF" w:themeFill="background1"/>
            </w:rPr>
            <w:t>（三）项目主要建设内容</w:t>
          </w:r>
          <w:r>
            <w:tab/>
          </w:r>
          <w:r>
            <w:fldChar w:fldCharType="begin"/>
          </w:r>
          <w:r>
            <w:instrText xml:space="preserve"> PAGEREF _Toc4323 \h </w:instrText>
          </w:r>
          <w:r>
            <w:fldChar w:fldCharType="separate"/>
          </w:r>
          <w:r>
            <w:t>2</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_Toc20840 </w:instrText>
          </w:r>
          <w:r>
            <w:rPr>
              <w:bCs/>
              <w:highlight w:val="none"/>
              <w:lang w:val="zh-CN"/>
            </w:rPr>
            <w:fldChar w:fldCharType="separate"/>
          </w:r>
          <w:r>
            <w:rPr>
              <w:rFonts w:hint="eastAsia" w:ascii="楷体" w:hAnsi="楷体" w:eastAsia="楷体"/>
              <w:szCs w:val="30"/>
              <w:highlight w:val="none"/>
              <w:shd w:val="clear" w:color="auto" w:fill="FFFFFF" w:themeFill="background1"/>
            </w:rPr>
            <w:t>（</w:t>
          </w:r>
          <w:r>
            <w:rPr>
              <w:rFonts w:hint="eastAsia" w:ascii="楷体" w:hAnsi="楷体" w:eastAsia="楷体"/>
              <w:szCs w:val="30"/>
              <w:highlight w:val="none"/>
              <w:shd w:val="clear" w:color="auto" w:fill="FFFFFF" w:themeFill="background1"/>
              <w:lang w:val="en-US" w:eastAsia="zh-CN"/>
            </w:rPr>
            <w:t>四</w:t>
          </w:r>
          <w:r>
            <w:rPr>
              <w:rFonts w:hint="eastAsia" w:ascii="楷体" w:hAnsi="楷体" w:eastAsia="楷体"/>
              <w:szCs w:val="30"/>
              <w:highlight w:val="none"/>
              <w:shd w:val="clear" w:color="auto" w:fill="FFFFFF" w:themeFill="background1"/>
            </w:rPr>
            <w:t>）</w:t>
          </w:r>
          <w:r>
            <w:rPr>
              <w:rFonts w:hint="eastAsia" w:ascii="楷体" w:hAnsi="楷体" w:eastAsia="楷体"/>
              <w:szCs w:val="30"/>
              <w:highlight w:val="none"/>
              <w:shd w:val="clear" w:color="auto" w:fill="FFFFFF" w:themeFill="background1"/>
              <w:lang w:val="en-US" w:eastAsia="zh-CN"/>
            </w:rPr>
            <w:t>项目建设周期</w:t>
          </w:r>
          <w:r>
            <w:tab/>
          </w:r>
          <w:r>
            <w:fldChar w:fldCharType="begin"/>
          </w:r>
          <w:r>
            <w:instrText xml:space="preserve"> PAGEREF _Toc20840 \h </w:instrText>
          </w:r>
          <w:r>
            <w:fldChar w:fldCharType="separate"/>
          </w:r>
          <w:r>
            <w:t>2</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_Toc6077 </w:instrText>
          </w:r>
          <w:r>
            <w:rPr>
              <w:bCs/>
              <w:highlight w:val="none"/>
              <w:lang w:val="zh-CN"/>
            </w:rPr>
            <w:fldChar w:fldCharType="separate"/>
          </w:r>
          <w:r>
            <w:rPr>
              <w:rFonts w:hint="eastAsia" w:ascii="楷体" w:hAnsi="楷体" w:eastAsia="楷体"/>
              <w:szCs w:val="30"/>
              <w:highlight w:val="none"/>
              <w:shd w:val="clear" w:color="auto" w:fill="FFFFFF" w:themeFill="background1"/>
              <w:lang w:eastAsia="zh-CN"/>
            </w:rPr>
            <w:t>（</w:t>
          </w:r>
          <w:r>
            <w:rPr>
              <w:rFonts w:hint="eastAsia" w:ascii="楷体" w:hAnsi="楷体" w:eastAsia="楷体"/>
              <w:szCs w:val="30"/>
              <w:highlight w:val="none"/>
              <w:shd w:val="clear" w:color="auto" w:fill="FFFFFF" w:themeFill="background1"/>
              <w:lang w:val="en-US" w:eastAsia="zh-CN"/>
            </w:rPr>
            <w:t>五</w:t>
          </w:r>
          <w:r>
            <w:rPr>
              <w:rFonts w:hint="eastAsia" w:ascii="楷体" w:hAnsi="楷体" w:eastAsia="楷体"/>
              <w:szCs w:val="30"/>
              <w:highlight w:val="none"/>
              <w:shd w:val="clear" w:color="auto" w:fill="FFFFFF" w:themeFill="background1"/>
              <w:lang w:eastAsia="zh-CN"/>
            </w:rPr>
            <w:t>）</w:t>
          </w:r>
          <w:r>
            <w:rPr>
              <w:rFonts w:hint="eastAsia" w:ascii="楷体" w:hAnsi="楷体" w:eastAsia="楷体"/>
              <w:szCs w:val="30"/>
              <w:highlight w:val="none"/>
              <w:shd w:val="clear" w:color="auto" w:fill="FFFFFF" w:themeFill="background1"/>
            </w:rPr>
            <w:t>项目总</w:t>
          </w:r>
          <w:r>
            <w:rPr>
              <w:rFonts w:hint="eastAsia" w:ascii="楷体" w:hAnsi="楷体" w:eastAsia="楷体"/>
              <w:szCs w:val="30"/>
              <w:highlight w:val="none"/>
              <w:shd w:val="clear" w:color="auto" w:fill="FFFFFF" w:themeFill="background1"/>
              <w:lang w:val="en-US" w:eastAsia="zh-CN"/>
            </w:rPr>
            <w:t>体</w:t>
          </w:r>
          <w:r>
            <w:rPr>
              <w:rFonts w:hint="eastAsia" w:ascii="楷体" w:hAnsi="楷体" w:eastAsia="楷体"/>
              <w:szCs w:val="30"/>
              <w:highlight w:val="none"/>
              <w:shd w:val="clear" w:color="auto" w:fill="FFFFFF" w:themeFill="background1"/>
            </w:rPr>
            <w:t>投资</w:t>
          </w:r>
          <w:r>
            <w:rPr>
              <w:rFonts w:hint="eastAsia" w:ascii="楷体" w:hAnsi="楷体" w:eastAsia="楷体"/>
              <w:szCs w:val="30"/>
              <w:highlight w:val="none"/>
              <w:shd w:val="clear" w:color="auto" w:fill="FFFFFF" w:themeFill="background1"/>
              <w:lang w:val="en-US" w:eastAsia="zh-CN"/>
            </w:rPr>
            <w:t>情况</w:t>
          </w:r>
          <w:r>
            <w:tab/>
          </w:r>
          <w:r>
            <w:fldChar w:fldCharType="begin"/>
          </w:r>
          <w:r>
            <w:instrText xml:space="preserve"> PAGEREF _Toc6077 \h </w:instrText>
          </w:r>
          <w:r>
            <w:fldChar w:fldCharType="separate"/>
          </w:r>
          <w:r>
            <w:t>2</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_Toc12989 </w:instrText>
          </w:r>
          <w:r>
            <w:rPr>
              <w:bCs/>
              <w:highlight w:val="none"/>
              <w:lang w:val="zh-CN"/>
            </w:rPr>
            <w:fldChar w:fldCharType="separate"/>
          </w:r>
          <w:r>
            <w:rPr>
              <w:rFonts w:hint="eastAsia" w:ascii="楷体" w:hAnsi="楷体" w:eastAsia="楷体"/>
              <w:szCs w:val="30"/>
              <w:highlight w:val="none"/>
              <w:shd w:val="clear" w:color="auto" w:fill="FFFFFF" w:themeFill="background1"/>
            </w:rPr>
            <w:t>（</w:t>
          </w:r>
          <w:r>
            <w:rPr>
              <w:rFonts w:hint="eastAsia" w:ascii="楷体" w:hAnsi="楷体" w:eastAsia="楷体"/>
              <w:szCs w:val="30"/>
              <w:highlight w:val="none"/>
              <w:shd w:val="clear" w:color="auto" w:fill="FFFFFF" w:themeFill="background1"/>
              <w:lang w:val="en-US" w:eastAsia="zh-CN"/>
            </w:rPr>
            <w:t>六</w:t>
          </w:r>
          <w:r>
            <w:rPr>
              <w:rFonts w:hint="eastAsia" w:ascii="楷体" w:hAnsi="楷体" w:eastAsia="楷体"/>
              <w:szCs w:val="30"/>
              <w:highlight w:val="none"/>
              <w:shd w:val="clear" w:color="auto" w:fill="FFFFFF" w:themeFill="background1"/>
            </w:rPr>
            <w:t>）绩效评价范围</w:t>
          </w:r>
          <w:r>
            <w:tab/>
          </w:r>
          <w:r>
            <w:fldChar w:fldCharType="begin"/>
          </w:r>
          <w:r>
            <w:instrText xml:space="preserve"> PAGEREF _Toc12989 \h </w:instrText>
          </w:r>
          <w:r>
            <w:fldChar w:fldCharType="separate"/>
          </w:r>
          <w:r>
            <w:t>3</w:t>
          </w:r>
          <w:r>
            <w:fldChar w:fldCharType="end"/>
          </w:r>
          <w:r>
            <w:rPr>
              <w:bCs/>
              <w:highlight w:val="none"/>
              <w:lang w:val="zh-CN"/>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_Toc18097 </w:instrText>
          </w:r>
          <w:r>
            <w:rPr>
              <w:bCs/>
              <w:highlight w:val="none"/>
              <w:lang w:val="zh-CN"/>
            </w:rPr>
            <w:fldChar w:fldCharType="separate"/>
          </w:r>
          <w:r>
            <w:rPr>
              <w:rFonts w:hint="eastAsia" w:ascii="黑体" w:hAnsi="宋体" w:eastAsia="黑体" w:cs="宋体"/>
              <w:szCs w:val="30"/>
              <w:highlight w:val="none"/>
              <w:shd w:val="clear" w:color="auto" w:fill="FFFFFF" w:themeFill="background1"/>
            </w:rPr>
            <w:t>二、绩效评价工作情况</w:t>
          </w:r>
          <w:r>
            <w:tab/>
          </w:r>
          <w:r>
            <w:fldChar w:fldCharType="begin"/>
          </w:r>
          <w:r>
            <w:instrText xml:space="preserve"> PAGEREF _Toc18097 \h </w:instrText>
          </w:r>
          <w:r>
            <w:fldChar w:fldCharType="separate"/>
          </w:r>
          <w:r>
            <w:t>3</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_Toc3884 </w:instrText>
          </w:r>
          <w:r>
            <w:rPr>
              <w:bCs/>
              <w:highlight w:val="none"/>
              <w:lang w:val="zh-CN"/>
            </w:rPr>
            <w:fldChar w:fldCharType="separate"/>
          </w:r>
          <w:r>
            <w:rPr>
              <w:rFonts w:hint="eastAsia" w:ascii="楷体" w:hAnsi="楷体" w:eastAsia="楷体"/>
              <w:szCs w:val="30"/>
              <w:highlight w:val="none"/>
              <w:shd w:val="clear" w:color="auto" w:fill="FFFFFF" w:themeFill="background1"/>
            </w:rPr>
            <w:t>（一）绩效评价目的</w:t>
          </w:r>
          <w:r>
            <w:tab/>
          </w:r>
          <w:r>
            <w:fldChar w:fldCharType="begin"/>
          </w:r>
          <w:r>
            <w:instrText xml:space="preserve"> PAGEREF _Toc3884 \h </w:instrText>
          </w:r>
          <w:r>
            <w:fldChar w:fldCharType="separate"/>
          </w:r>
          <w:r>
            <w:t>3</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_Toc20263 </w:instrText>
          </w:r>
          <w:r>
            <w:rPr>
              <w:bCs/>
              <w:highlight w:val="none"/>
              <w:lang w:val="zh-CN"/>
            </w:rPr>
            <w:fldChar w:fldCharType="separate"/>
          </w:r>
          <w:r>
            <w:rPr>
              <w:rFonts w:hint="eastAsia" w:ascii="楷体" w:hAnsi="楷体" w:eastAsia="楷体"/>
              <w:szCs w:val="30"/>
              <w:highlight w:val="none"/>
              <w:shd w:val="clear" w:color="auto" w:fill="FFFFFF" w:themeFill="background1"/>
            </w:rPr>
            <w:t>（三）绩效评价原则标准</w:t>
          </w:r>
          <w:r>
            <w:tab/>
          </w:r>
          <w:r>
            <w:fldChar w:fldCharType="begin"/>
          </w:r>
          <w:r>
            <w:instrText xml:space="preserve"> PAGEREF _Toc20263 \h </w:instrText>
          </w:r>
          <w:r>
            <w:fldChar w:fldCharType="separate"/>
          </w:r>
          <w:r>
            <w:t>4</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_Toc4003 </w:instrText>
          </w:r>
          <w:r>
            <w:rPr>
              <w:bCs/>
              <w:highlight w:val="none"/>
              <w:lang w:val="zh-CN"/>
            </w:rPr>
            <w:fldChar w:fldCharType="separate"/>
          </w:r>
          <w:r>
            <w:rPr>
              <w:rFonts w:hint="eastAsia" w:ascii="楷体" w:hAnsi="楷体" w:eastAsia="楷体"/>
              <w:szCs w:val="30"/>
              <w:highlight w:val="none"/>
              <w:shd w:val="clear" w:color="auto" w:fill="FFFFFF" w:themeFill="background1"/>
            </w:rPr>
            <w:t>（四）绩效评价组织管理</w:t>
          </w:r>
          <w:r>
            <w:tab/>
          </w:r>
          <w:r>
            <w:fldChar w:fldCharType="begin"/>
          </w:r>
          <w:r>
            <w:instrText xml:space="preserve"> PAGEREF _Toc4003 \h </w:instrText>
          </w:r>
          <w:r>
            <w:fldChar w:fldCharType="separate"/>
          </w:r>
          <w:r>
            <w:t>5</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_Toc9943 </w:instrText>
          </w:r>
          <w:r>
            <w:rPr>
              <w:bCs/>
              <w:highlight w:val="none"/>
              <w:lang w:val="zh-CN"/>
            </w:rPr>
            <w:fldChar w:fldCharType="separate"/>
          </w:r>
          <w:r>
            <w:rPr>
              <w:rFonts w:hint="eastAsia" w:ascii="楷体" w:hAnsi="楷体" w:eastAsia="楷体"/>
              <w:szCs w:val="30"/>
              <w:highlight w:val="none"/>
              <w:shd w:val="clear" w:color="auto" w:fill="FFFFFF" w:themeFill="background1"/>
            </w:rPr>
            <w:t>（五）重点评价内容</w:t>
          </w:r>
          <w:r>
            <w:tab/>
          </w:r>
          <w:r>
            <w:fldChar w:fldCharType="begin"/>
          </w:r>
          <w:r>
            <w:instrText xml:space="preserve"> PAGEREF _Toc9943 \h </w:instrText>
          </w:r>
          <w:r>
            <w:fldChar w:fldCharType="separate"/>
          </w:r>
          <w:r>
            <w:t>5</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_Toc2422 </w:instrText>
          </w:r>
          <w:r>
            <w:rPr>
              <w:bCs/>
              <w:highlight w:val="none"/>
              <w:lang w:val="zh-CN"/>
            </w:rPr>
            <w:fldChar w:fldCharType="separate"/>
          </w:r>
          <w:r>
            <w:rPr>
              <w:rFonts w:hint="eastAsia" w:ascii="楷体" w:hAnsi="楷体" w:eastAsia="楷体"/>
              <w:szCs w:val="30"/>
              <w:highlight w:val="none"/>
              <w:shd w:val="clear" w:color="auto" w:fill="FFFFFF" w:themeFill="background1"/>
            </w:rPr>
            <w:t>（六）绩效评价指标体系</w:t>
          </w:r>
          <w:r>
            <w:tab/>
          </w:r>
          <w:r>
            <w:fldChar w:fldCharType="begin"/>
          </w:r>
          <w:r>
            <w:instrText xml:space="preserve"> PAGEREF _Toc2422 \h </w:instrText>
          </w:r>
          <w:r>
            <w:fldChar w:fldCharType="separate"/>
          </w:r>
          <w:r>
            <w:t>5</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_Toc4694 </w:instrText>
          </w:r>
          <w:r>
            <w:rPr>
              <w:bCs/>
              <w:highlight w:val="none"/>
              <w:lang w:val="zh-CN"/>
            </w:rPr>
            <w:fldChar w:fldCharType="separate"/>
          </w:r>
          <w:r>
            <w:rPr>
              <w:rFonts w:hint="eastAsia" w:ascii="楷体" w:hAnsi="楷体" w:eastAsia="楷体"/>
              <w:szCs w:val="30"/>
              <w:highlight w:val="none"/>
              <w:shd w:val="clear" w:color="auto" w:fill="FFFFFF" w:themeFill="background1"/>
            </w:rPr>
            <w:t>（七）绩效评价方法</w:t>
          </w:r>
          <w:r>
            <w:tab/>
          </w:r>
          <w:r>
            <w:fldChar w:fldCharType="begin"/>
          </w:r>
          <w:r>
            <w:instrText xml:space="preserve"> PAGEREF _Toc4694 \h </w:instrText>
          </w:r>
          <w:r>
            <w:fldChar w:fldCharType="separate"/>
          </w:r>
          <w:r>
            <w:t>6</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_Toc10541 </w:instrText>
          </w:r>
          <w:r>
            <w:rPr>
              <w:bCs/>
              <w:highlight w:val="none"/>
              <w:lang w:val="zh-CN"/>
            </w:rPr>
            <w:fldChar w:fldCharType="separate"/>
          </w:r>
          <w:r>
            <w:rPr>
              <w:rFonts w:hint="eastAsia" w:ascii="楷体" w:hAnsi="楷体" w:eastAsia="楷体"/>
              <w:szCs w:val="30"/>
              <w:highlight w:val="none"/>
              <w:shd w:val="clear" w:color="auto" w:fill="FFFFFF" w:themeFill="background1"/>
            </w:rPr>
            <w:t>（八）绩效评价实施过程</w:t>
          </w:r>
          <w:r>
            <w:tab/>
          </w:r>
          <w:r>
            <w:fldChar w:fldCharType="begin"/>
          </w:r>
          <w:r>
            <w:instrText xml:space="preserve"> PAGEREF _Toc10541 \h </w:instrText>
          </w:r>
          <w:r>
            <w:fldChar w:fldCharType="separate"/>
          </w:r>
          <w:r>
            <w:t>6</w:t>
          </w:r>
          <w:r>
            <w:fldChar w:fldCharType="end"/>
          </w:r>
          <w:r>
            <w:rPr>
              <w:bCs/>
              <w:highlight w:val="none"/>
              <w:lang w:val="zh-CN"/>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_Toc17712 </w:instrText>
          </w:r>
          <w:r>
            <w:rPr>
              <w:bCs/>
              <w:highlight w:val="none"/>
              <w:lang w:val="zh-CN"/>
            </w:rPr>
            <w:fldChar w:fldCharType="separate"/>
          </w:r>
          <w:r>
            <w:rPr>
              <w:rFonts w:hint="eastAsia" w:ascii="黑体" w:hAnsi="宋体" w:eastAsia="黑体" w:cs="宋体"/>
              <w:szCs w:val="30"/>
              <w:highlight w:val="none"/>
              <w:shd w:val="clear" w:color="auto" w:fill="FFFFFF" w:themeFill="background1"/>
            </w:rPr>
            <w:t>三、绩效情况分析</w:t>
          </w:r>
          <w:r>
            <w:tab/>
          </w:r>
          <w:r>
            <w:fldChar w:fldCharType="begin"/>
          </w:r>
          <w:r>
            <w:instrText xml:space="preserve"> PAGEREF _Toc17712 \h </w:instrText>
          </w:r>
          <w:r>
            <w:fldChar w:fldCharType="separate"/>
          </w:r>
          <w:r>
            <w:t>7</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_Toc12483 </w:instrText>
          </w:r>
          <w:r>
            <w:rPr>
              <w:bCs/>
              <w:highlight w:val="none"/>
              <w:lang w:val="zh-CN"/>
            </w:rPr>
            <w:fldChar w:fldCharType="separate"/>
          </w:r>
          <w:r>
            <w:rPr>
              <w:rFonts w:hint="eastAsia" w:ascii="楷体" w:hAnsi="楷体" w:eastAsia="楷体"/>
              <w:szCs w:val="30"/>
              <w:highlight w:val="none"/>
              <w:shd w:val="clear" w:color="auto" w:fill="FFFFFF" w:themeFill="background1"/>
            </w:rPr>
            <w:t>（一）项目决策</w:t>
          </w:r>
          <w:r>
            <w:tab/>
          </w:r>
          <w:r>
            <w:fldChar w:fldCharType="begin"/>
          </w:r>
          <w:r>
            <w:instrText xml:space="preserve"> PAGEREF _Toc12483 \h </w:instrText>
          </w:r>
          <w:r>
            <w:fldChar w:fldCharType="separate"/>
          </w:r>
          <w:r>
            <w:t>7</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_Toc19365 </w:instrText>
          </w:r>
          <w:r>
            <w:rPr>
              <w:bCs/>
              <w:highlight w:val="none"/>
              <w:lang w:val="zh-CN"/>
            </w:rPr>
            <w:fldChar w:fldCharType="separate"/>
          </w:r>
          <w:r>
            <w:rPr>
              <w:rFonts w:hint="eastAsia" w:hAnsi="仿宋" w:cs="Times New Roman"/>
              <w:szCs w:val="30"/>
              <w:highlight w:val="none"/>
              <w:lang w:val="en-US" w:eastAsia="zh-CN"/>
            </w:rPr>
            <w:t>（二）项目管理</w:t>
          </w:r>
          <w:r>
            <w:tab/>
          </w:r>
          <w:r>
            <w:fldChar w:fldCharType="begin"/>
          </w:r>
          <w:r>
            <w:instrText xml:space="preserve"> PAGEREF _Toc19365 \h </w:instrText>
          </w:r>
          <w:r>
            <w:fldChar w:fldCharType="separate"/>
          </w:r>
          <w:r>
            <w:t>13</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_Toc19678 </w:instrText>
          </w:r>
          <w:r>
            <w:rPr>
              <w:bCs/>
              <w:highlight w:val="none"/>
              <w:lang w:val="zh-CN"/>
            </w:rPr>
            <w:fldChar w:fldCharType="separate"/>
          </w:r>
          <w:r>
            <w:rPr>
              <w:rFonts w:hint="eastAsia" w:ascii="楷体" w:hAnsi="楷体" w:eastAsia="楷体"/>
              <w:szCs w:val="30"/>
              <w:highlight w:val="none"/>
              <w:shd w:val="clear" w:color="auto" w:fill="FFFFFF" w:themeFill="background1"/>
            </w:rPr>
            <w:t>（三）项目产出</w:t>
          </w:r>
          <w:r>
            <w:tab/>
          </w:r>
          <w:r>
            <w:fldChar w:fldCharType="begin"/>
          </w:r>
          <w:r>
            <w:instrText xml:space="preserve"> PAGEREF _Toc19678 \h </w:instrText>
          </w:r>
          <w:r>
            <w:fldChar w:fldCharType="separate"/>
          </w:r>
          <w:r>
            <w:t>18</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_Toc21381 </w:instrText>
          </w:r>
          <w:r>
            <w:rPr>
              <w:bCs/>
              <w:highlight w:val="none"/>
              <w:lang w:val="zh-CN"/>
            </w:rPr>
            <w:fldChar w:fldCharType="separate"/>
          </w:r>
          <w:r>
            <w:rPr>
              <w:rFonts w:hint="eastAsia" w:ascii="楷体" w:hAnsi="楷体" w:eastAsia="楷体"/>
              <w:szCs w:val="30"/>
              <w:highlight w:val="none"/>
              <w:shd w:val="clear" w:color="auto" w:fill="FFFFFF" w:themeFill="background1"/>
            </w:rPr>
            <w:t>（四）项目效益</w:t>
          </w:r>
          <w:r>
            <w:tab/>
          </w:r>
          <w:r>
            <w:fldChar w:fldCharType="begin"/>
          </w:r>
          <w:r>
            <w:instrText xml:space="preserve"> PAGEREF _Toc21381 \h </w:instrText>
          </w:r>
          <w:r>
            <w:fldChar w:fldCharType="separate"/>
          </w:r>
          <w:r>
            <w:t>20</w:t>
          </w:r>
          <w:r>
            <w:fldChar w:fldCharType="end"/>
          </w:r>
          <w:r>
            <w:rPr>
              <w:bCs/>
              <w:highlight w:val="none"/>
              <w:lang w:val="zh-CN"/>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_Toc24776 </w:instrText>
          </w:r>
          <w:r>
            <w:rPr>
              <w:bCs/>
              <w:highlight w:val="none"/>
              <w:lang w:val="zh-CN"/>
            </w:rPr>
            <w:fldChar w:fldCharType="separate"/>
          </w:r>
          <w:r>
            <w:rPr>
              <w:rFonts w:hint="eastAsia" w:ascii="黑体" w:hAnsi="宋体" w:eastAsia="黑体" w:cs="宋体"/>
              <w:szCs w:val="30"/>
              <w:highlight w:val="none"/>
              <w:shd w:val="clear" w:color="auto" w:fill="FFFFFF" w:themeFill="background1"/>
            </w:rPr>
            <w:t>四、绩效评价结论</w:t>
          </w:r>
          <w:r>
            <w:tab/>
          </w:r>
          <w:r>
            <w:fldChar w:fldCharType="begin"/>
          </w:r>
          <w:r>
            <w:instrText xml:space="preserve"> PAGEREF _Toc24776 \h </w:instrText>
          </w:r>
          <w:r>
            <w:fldChar w:fldCharType="separate"/>
          </w:r>
          <w:r>
            <w:t>24</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_Toc21700 </w:instrText>
          </w:r>
          <w:r>
            <w:rPr>
              <w:bCs/>
              <w:highlight w:val="none"/>
              <w:lang w:val="zh-CN"/>
            </w:rPr>
            <w:fldChar w:fldCharType="separate"/>
          </w:r>
          <w:r>
            <w:rPr>
              <w:rFonts w:hint="eastAsia" w:ascii="楷体" w:hAnsi="楷体" w:eastAsia="楷体"/>
              <w:szCs w:val="30"/>
              <w:highlight w:val="none"/>
              <w:shd w:val="clear" w:color="auto" w:fill="FFFFFF" w:themeFill="background1"/>
            </w:rPr>
            <w:t>（一）评分情况</w:t>
          </w:r>
          <w:r>
            <w:tab/>
          </w:r>
          <w:r>
            <w:fldChar w:fldCharType="begin"/>
          </w:r>
          <w:r>
            <w:instrText xml:space="preserve"> PAGEREF _Toc21700 \h </w:instrText>
          </w:r>
          <w:r>
            <w:fldChar w:fldCharType="separate"/>
          </w:r>
          <w:r>
            <w:t>24</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_Toc26419 </w:instrText>
          </w:r>
          <w:r>
            <w:rPr>
              <w:bCs/>
              <w:highlight w:val="none"/>
              <w:lang w:val="zh-CN"/>
            </w:rPr>
            <w:fldChar w:fldCharType="separate"/>
          </w:r>
          <w:r>
            <w:rPr>
              <w:rFonts w:hint="eastAsia" w:ascii="楷体" w:hAnsi="楷体" w:eastAsia="楷体"/>
              <w:szCs w:val="30"/>
              <w:highlight w:val="none"/>
              <w:shd w:val="clear" w:color="auto" w:fill="FFFFFF" w:themeFill="background1"/>
            </w:rPr>
            <w:t>（二）综合评价</w:t>
          </w:r>
          <w:r>
            <w:tab/>
          </w:r>
          <w:r>
            <w:fldChar w:fldCharType="begin"/>
          </w:r>
          <w:r>
            <w:instrText xml:space="preserve"> PAGEREF _Toc26419 \h </w:instrText>
          </w:r>
          <w:r>
            <w:fldChar w:fldCharType="separate"/>
          </w:r>
          <w:r>
            <w:t>24</w:t>
          </w:r>
          <w:r>
            <w:fldChar w:fldCharType="end"/>
          </w:r>
          <w:r>
            <w:rPr>
              <w:bCs/>
              <w:highlight w:val="none"/>
              <w:lang w:val="zh-CN"/>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_Toc24497 </w:instrText>
          </w:r>
          <w:r>
            <w:rPr>
              <w:bCs/>
              <w:highlight w:val="none"/>
              <w:lang w:val="zh-CN"/>
            </w:rPr>
            <w:fldChar w:fldCharType="separate"/>
          </w:r>
          <w:r>
            <w:rPr>
              <w:rFonts w:hint="eastAsia" w:ascii="黑体" w:hAnsi="宋体" w:eastAsia="黑体" w:cs="宋体"/>
              <w:szCs w:val="30"/>
              <w:highlight w:val="none"/>
              <w:shd w:val="clear" w:color="auto" w:fill="FFFFFF" w:themeFill="background1"/>
            </w:rPr>
            <w:t>五、存在的主要问题和不足</w:t>
          </w:r>
          <w:r>
            <w:tab/>
          </w:r>
          <w:r>
            <w:fldChar w:fldCharType="begin"/>
          </w:r>
          <w:r>
            <w:instrText xml:space="preserve"> PAGEREF _Toc24497 \h </w:instrText>
          </w:r>
          <w:r>
            <w:fldChar w:fldCharType="separate"/>
          </w:r>
          <w:r>
            <w:t>25</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_Toc13831 </w:instrText>
          </w:r>
          <w:r>
            <w:rPr>
              <w:bCs/>
              <w:highlight w:val="none"/>
              <w:lang w:val="zh-CN"/>
            </w:rPr>
            <w:fldChar w:fldCharType="separate"/>
          </w:r>
          <w:r>
            <w:rPr>
              <w:rFonts w:hint="eastAsia" w:ascii="楷体" w:hAnsi="楷体" w:eastAsia="楷体"/>
              <w:szCs w:val="30"/>
              <w:highlight w:val="none"/>
              <w:shd w:val="clear" w:color="auto" w:fill="FFFFFF" w:themeFill="background1"/>
            </w:rPr>
            <w:t>（一）项目绩效</w:t>
          </w:r>
          <w:r>
            <w:rPr>
              <w:rFonts w:hint="eastAsia" w:ascii="楷体" w:hAnsi="楷体" w:eastAsia="楷体"/>
              <w:szCs w:val="30"/>
              <w:highlight w:val="none"/>
              <w:shd w:val="clear" w:color="auto" w:fill="FFFFFF" w:themeFill="background1"/>
              <w:lang w:val="en-US" w:eastAsia="zh-CN"/>
            </w:rPr>
            <w:t>指</w:t>
          </w:r>
          <w:r>
            <w:rPr>
              <w:rFonts w:hint="eastAsia" w:ascii="楷体" w:hAnsi="楷体" w:eastAsia="楷体"/>
              <w:szCs w:val="30"/>
              <w:highlight w:val="none"/>
              <w:shd w:val="clear" w:color="auto" w:fill="FFFFFF" w:themeFill="background1"/>
            </w:rPr>
            <w:t>标</w:t>
          </w:r>
          <w:r>
            <w:rPr>
              <w:rFonts w:hint="eastAsia" w:ascii="楷体" w:hAnsi="楷体" w:eastAsia="楷体"/>
              <w:szCs w:val="30"/>
              <w:highlight w:val="none"/>
              <w:shd w:val="clear" w:color="auto" w:fill="FFFFFF" w:themeFill="background1"/>
              <w:lang w:val="en-US" w:eastAsia="zh-CN"/>
            </w:rPr>
            <w:t>部分缺失，指标设置</w:t>
          </w:r>
          <w:r>
            <w:rPr>
              <w:rFonts w:hint="eastAsia" w:ascii="楷体" w:hAnsi="楷体" w:eastAsia="楷体"/>
              <w:szCs w:val="30"/>
              <w:highlight w:val="none"/>
              <w:shd w:val="clear" w:color="auto" w:fill="FFFFFF" w:themeFill="background1"/>
            </w:rPr>
            <w:t>完整性不足</w:t>
          </w:r>
          <w:r>
            <w:tab/>
          </w:r>
          <w:r>
            <w:fldChar w:fldCharType="begin"/>
          </w:r>
          <w:r>
            <w:instrText xml:space="preserve"> PAGEREF _Toc13831 \h </w:instrText>
          </w:r>
          <w:r>
            <w:fldChar w:fldCharType="separate"/>
          </w:r>
          <w:r>
            <w:t>25</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_Toc17920 </w:instrText>
          </w:r>
          <w:r>
            <w:rPr>
              <w:bCs/>
              <w:highlight w:val="none"/>
              <w:lang w:val="zh-CN"/>
            </w:rPr>
            <w:fldChar w:fldCharType="separate"/>
          </w:r>
          <w:r>
            <w:rPr>
              <w:rFonts w:hint="eastAsia" w:ascii="楷体" w:hAnsi="楷体" w:eastAsia="楷体" w:cs="楷体"/>
              <w:kern w:val="0"/>
              <w:szCs w:val="30"/>
              <w:shd w:val="clear" w:fill="FFFFFF"/>
              <w:lang w:val="en-US" w:eastAsia="zh-CN" w:bidi="ar"/>
            </w:rPr>
            <w:t>（二）项目调整手续办理过晚，存在规避项目超期嫌疑</w:t>
          </w:r>
          <w:r>
            <w:tab/>
          </w:r>
          <w:r>
            <w:fldChar w:fldCharType="begin"/>
          </w:r>
          <w:r>
            <w:instrText xml:space="preserve"> PAGEREF _Toc17920 \h </w:instrText>
          </w:r>
          <w:r>
            <w:fldChar w:fldCharType="separate"/>
          </w:r>
          <w:r>
            <w:t>25</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_Toc9686 </w:instrText>
          </w:r>
          <w:r>
            <w:rPr>
              <w:bCs/>
              <w:highlight w:val="none"/>
              <w:lang w:val="zh-CN"/>
            </w:rPr>
            <w:fldChar w:fldCharType="separate"/>
          </w:r>
          <w:r>
            <w:rPr>
              <w:rFonts w:hint="eastAsia" w:ascii="楷体" w:hAnsi="楷体" w:eastAsia="楷体"/>
              <w:szCs w:val="30"/>
              <w:highlight w:val="none"/>
              <w:shd w:val="clear" w:color="auto" w:fill="FFFFFF" w:themeFill="background1"/>
            </w:rPr>
            <w:t>（三）</w:t>
          </w:r>
          <w:r>
            <w:rPr>
              <w:rFonts w:hint="eastAsia" w:ascii="楷体" w:hAnsi="楷体" w:eastAsia="楷体"/>
              <w:szCs w:val="30"/>
              <w:highlight w:val="none"/>
              <w:shd w:val="clear" w:color="auto" w:fill="FFFFFF" w:themeFill="background1"/>
              <w:lang w:val="en-US" w:eastAsia="zh-CN"/>
            </w:rPr>
            <w:t>实施单位上报数据错误，监管力度待加强</w:t>
          </w:r>
          <w:r>
            <w:tab/>
          </w:r>
          <w:r>
            <w:fldChar w:fldCharType="begin"/>
          </w:r>
          <w:r>
            <w:instrText xml:space="preserve"> PAGEREF _Toc9686 \h </w:instrText>
          </w:r>
          <w:r>
            <w:fldChar w:fldCharType="separate"/>
          </w:r>
          <w:r>
            <w:t>26</w:t>
          </w:r>
          <w:r>
            <w:fldChar w:fldCharType="end"/>
          </w:r>
          <w:r>
            <w:rPr>
              <w:bCs/>
              <w:highlight w:val="none"/>
              <w:lang w:val="zh-CN"/>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_Toc15619 </w:instrText>
          </w:r>
          <w:r>
            <w:rPr>
              <w:bCs/>
              <w:highlight w:val="none"/>
              <w:lang w:val="zh-CN"/>
            </w:rPr>
            <w:fldChar w:fldCharType="separate"/>
          </w:r>
          <w:r>
            <w:rPr>
              <w:rFonts w:hint="eastAsia" w:ascii="黑体" w:hAnsi="宋体" w:eastAsia="黑体" w:cs="宋体"/>
              <w:szCs w:val="30"/>
              <w:highlight w:val="none"/>
              <w:shd w:val="clear" w:color="auto" w:fill="FFFFFF" w:themeFill="background1"/>
            </w:rPr>
            <w:t>六、主要建议</w:t>
          </w:r>
          <w:r>
            <w:tab/>
          </w:r>
          <w:r>
            <w:fldChar w:fldCharType="begin"/>
          </w:r>
          <w:r>
            <w:instrText xml:space="preserve"> PAGEREF _Toc15619 \h </w:instrText>
          </w:r>
          <w:r>
            <w:fldChar w:fldCharType="separate"/>
          </w:r>
          <w:r>
            <w:t>27</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ind w:left="300"/>
            <w:textAlignment w:val="auto"/>
          </w:pPr>
          <w:r>
            <w:rPr>
              <w:bCs/>
              <w:highlight w:val="none"/>
              <w:lang w:val="zh-CN"/>
            </w:rPr>
            <w:fldChar w:fldCharType="begin"/>
          </w:r>
          <w:r>
            <w:rPr>
              <w:bCs/>
              <w:highlight w:val="none"/>
              <w:lang w:val="zh-CN"/>
            </w:rPr>
            <w:instrText xml:space="preserve"> HYPERLINK \l _Toc24993 </w:instrText>
          </w:r>
          <w:r>
            <w:rPr>
              <w:bCs/>
              <w:highlight w:val="none"/>
              <w:lang w:val="zh-CN"/>
            </w:rPr>
            <w:fldChar w:fldCharType="separate"/>
          </w:r>
          <w:r>
            <w:rPr>
              <w:rFonts w:hint="eastAsia" w:ascii="楷体" w:hAnsi="楷体" w:eastAsia="楷体"/>
              <w:szCs w:val="30"/>
              <w:highlight w:val="none"/>
              <w:shd w:val="clear" w:color="auto" w:fill="FFFFFF" w:themeFill="background1"/>
              <w:lang w:eastAsia="zh-CN"/>
            </w:rPr>
            <w:t>（一）</w:t>
          </w:r>
          <w:r>
            <w:rPr>
              <w:rFonts w:hint="eastAsia" w:ascii="楷体" w:hAnsi="楷体" w:eastAsia="楷体"/>
              <w:szCs w:val="30"/>
              <w:highlight w:val="none"/>
              <w:shd w:val="clear" w:color="auto" w:fill="FFFFFF" w:themeFill="background1"/>
              <w:lang w:val="en-US" w:eastAsia="zh-CN"/>
            </w:rPr>
            <w:t>按规定设置绩效目标申报表</w:t>
          </w:r>
          <w:r>
            <w:rPr>
              <w:rFonts w:hint="eastAsia" w:ascii="楷体" w:hAnsi="楷体" w:eastAsia="楷体"/>
              <w:szCs w:val="30"/>
              <w:shd w:val="clear" w:color="auto" w:fill="FFFFFF" w:themeFill="background1"/>
            </w:rPr>
            <w:t>，细化项目绩效指标设置</w:t>
          </w:r>
          <w:r>
            <w:tab/>
          </w:r>
          <w:r>
            <w:fldChar w:fldCharType="begin"/>
          </w:r>
          <w:r>
            <w:instrText xml:space="preserve"> PAGEREF _Toc24993 \h </w:instrText>
          </w:r>
          <w:r>
            <w:fldChar w:fldCharType="separate"/>
          </w:r>
          <w:r>
            <w:t>27</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ind w:left="300"/>
            <w:textAlignment w:val="auto"/>
          </w:pPr>
          <w:r>
            <w:rPr>
              <w:bCs/>
              <w:highlight w:val="none"/>
              <w:lang w:val="zh-CN"/>
            </w:rPr>
            <w:fldChar w:fldCharType="begin"/>
          </w:r>
          <w:r>
            <w:rPr>
              <w:bCs/>
              <w:highlight w:val="none"/>
              <w:lang w:val="zh-CN"/>
            </w:rPr>
            <w:instrText xml:space="preserve"> HYPERLINK \l _Toc19141 </w:instrText>
          </w:r>
          <w:r>
            <w:rPr>
              <w:bCs/>
              <w:highlight w:val="none"/>
              <w:lang w:val="zh-CN"/>
            </w:rPr>
            <w:fldChar w:fldCharType="separate"/>
          </w:r>
          <w:r>
            <w:rPr>
              <w:rFonts w:hint="eastAsia" w:ascii="楷体" w:hAnsi="楷体" w:eastAsia="楷体" w:cs="楷体"/>
              <w:kern w:val="0"/>
              <w:szCs w:val="30"/>
              <w:shd w:val="clear" w:fill="FFFFFF"/>
              <w:lang w:val="en-US" w:eastAsia="zh-CN" w:bidi="ar"/>
            </w:rPr>
            <w:t>（二）严格遵循项目手续办理顺序，确保项目程序合规</w:t>
          </w:r>
          <w:r>
            <w:tab/>
          </w:r>
          <w:r>
            <w:fldChar w:fldCharType="begin"/>
          </w:r>
          <w:r>
            <w:instrText xml:space="preserve"> PAGEREF _Toc19141 \h </w:instrText>
          </w:r>
          <w:r>
            <w:fldChar w:fldCharType="separate"/>
          </w:r>
          <w:r>
            <w:t>27</w:t>
          </w:r>
          <w:r>
            <w:fldChar w:fldCharType="end"/>
          </w:r>
          <w:r>
            <w:rPr>
              <w:bCs/>
              <w:highlight w:val="none"/>
              <w:lang w:val="zh-CN"/>
            </w:rPr>
            <w:fldChar w:fldCharType="end"/>
          </w:r>
        </w:p>
        <w:p>
          <w:pPr>
            <w:pStyle w:val="20"/>
            <w:keepNext w:val="0"/>
            <w:keepLines w:val="0"/>
            <w:pageBreakBefore w:val="0"/>
            <w:widowControl w:val="0"/>
            <w:tabs>
              <w:tab w:val="right" w:leader="dot" w:pos="8844"/>
            </w:tabs>
            <w:kinsoku/>
            <w:wordWrap/>
            <w:overflowPunct/>
            <w:topLinePunct w:val="0"/>
            <w:autoSpaceDE/>
            <w:autoSpaceDN/>
            <w:bidi w:val="0"/>
            <w:adjustRightInd/>
            <w:snapToGrid/>
            <w:spacing w:line="0" w:lineRule="atLeast"/>
            <w:ind w:left="300"/>
            <w:textAlignment w:val="auto"/>
          </w:pPr>
          <w:r>
            <w:rPr>
              <w:bCs/>
              <w:highlight w:val="none"/>
              <w:lang w:val="zh-CN"/>
            </w:rPr>
            <w:fldChar w:fldCharType="begin"/>
          </w:r>
          <w:r>
            <w:rPr>
              <w:bCs/>
              <w:highlight w:val="none"/>
              <w:lang w:val="zh-CN"/>
            </w:rPr>
            <w:instrText xml:space="preserve"> HYPERLINK \l _Toc2580 </w:instrText>
          </w:r>
          <w:r>
            <w:rPr>
              <w:bCs/>
              <w:highlight w:val="none"/>
              <w:lang w:val="zh-CN"/>
            </w:rPr>
            <w:fldChar w:fldCharType="separate"/>
          </w:r>
          <w:r>
            <w:rPr>
              <w:rFonts w:hint="eastAsia" w:ascii="楷体" w:hAnsi="楷体" w:eastAsia="楷体"/>
              <w:szCs w:val="30"/>
              <w:highlight w:val="none"/>
              <w:shd w:val="clear" w:color="auto" w:fill="FFFFFF" w:themeFill="background1"/>
            </w:rPr>
            <w:t>（三）</w:t>
          </w:r>
          <w:r>
            <w:rPr>
              <w:rFonts w:hint="eastAsia" w:ascii="楷体" w:hAnsi="楷体" w:eastAsia="楷体"/>
              <w:szCs w:val="30"/>
              <w:highlight w:val="none"/>
              <w:shd w:val="clear" w:color="auto" w:fill="FFFFFF" w:themeFill="background1"/>
              <w:lang w:val="en-US" w:eastAsia="zh-CN"/>
            </w:rPr>
            <w:t>加强项目后续监管力度，避免上传数据不合规</w:t>
          </w:r>
          <w:r>
            <w:tab/>
          </w:r>
          <w:r>
            <w:fldChar w:fldCharType="begin"/>
          </w:r>
          <w:r>
            <w:instrText xml:space="preserve"> PAGEREF _Toc2580 \h </w:instrText>
          </w:r>
          <w:r>
            <w:fldChar w:fldCharType="separate"/>
          </w:r>
          <w:r>
            <w:t>27</w:t>
          </w:r>
          <w:r>
            <w:fldChar w:fldCharType="end"/>
          </w:r>
          <w:r>
            <w:rPr>
              <w:bCs/>
              <w:highlight w:val="none"/>
              <w:lang w:val="zh-CN"/>
            </w:rPr>
            <w:fldChar w:fldCharType="end"/>
          </w:r>
        </w:p>
        <w:p>
          <w:pPr>
            <w:pStyle w:val="17"/>
            <w:keepNext w:val="0"/>
            <w:keepLines w:val="0"/>
            <w:pageBreakBefore w:val="0"/>
            <w:widowControl w:val="0"/>
            <w:tabs>
              <w:tab w:val="right" w:leader="dot" w:pos="8844"/>
            </w:tabs>
            <w:kinsoku/>
            <w:wordWrap/>
            <w:overflowPunct/>
            <w:topLinePunct w:val="0"/>
            <w:autoSpaceDE/>
            <w:autoSpaceDN/>
            <w:bidi w:val="0"/>
            <w:adjustRightInd/>
            <w:snapToGrid/>
            <w:spacing w:line="0" w:lineRule="atLeast"/>
            <w:textAlignment w:val="auto"/>
          </w:pPr>
          <w:r>
            <w:rPr>
              <w:bCs/>
              <w:highlight w:val="none"/>
              <w:lang w:val="zh-CN"/>
            </w:rPr>
            <w:fldChar w:fldCharType="begin"/>
          </w:r>
          <w:r>
            <w:rPr>
              <w:bCs/>
              <w:highlight w:val="none"/>
              <w:lang w:val="zh-CN"/>
            </w:rPr>
            <w:instrText xml:space="preserve"> HYPERLINK \l _Toc7396 </w:instrText>
          </w:r>
          <w:r>
            <w:rPr>
              <w:bCs/>
              <w:highlight w:val="none"/>
              <w:lang w:val="zh-CN"/>
            </w:rPr>
            <w:fldChar w:fldCharType="separate"/>
          </w:r>
          <w:r>
            <w:rPr>
              <w:rFonts w:hint="eastAsia" w:ascii="黑体" w:hAnsi="宋体" w:eastAsia="黑体" w:cs="宋体"/>
              <w:szCs w:val="30"/>
              <w:highlight w:val="none"/>
              <w:shd w:val="clear" w:color="auto" w:fill="FFFFFF" w:themeFill="background1"/>
            </w:rPr>
            <w:t>七、附件</w:t>
          </w:r>
          <w:r>
            <w:tab/>
          </w:r>
          <w:r>
            <w:fldChar w:fldCharType="begin"/>
          </w:r>
          <w:r>
            <w:instrText xml:space="preserve"> PAGEREF _Toc7396 \h </w:instrText>
          </w:r>
          <w:r>
            <w:fldChar w:fldCharType="separate"/>
          </w:r>
          <w:r>
            <w:t>28</w:t>
          </w:r>
          <w:r>
            <w:fldChar w:fldCharType="end"/>
          </w:r>
          <w:r>
            <w:rPr>
              <w:bCs/>
              <w:highlight w:val="none"/>
              <w:lang w:val="zh-CN"/>
            </w:rPr>
            <w:fldChar w:fldCharType="end"/>
          </w:r>
        </w:p>
        <w:p>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outlineLvl w:val="0"/>
            <w:rPr>
              <w:rFonts w:asciiTheme="minorHAnsi" w:hAnsiTheme="minorHAnsi" w:eastAsiaTheme="minorEastAsia" w:cstheme="minorBidi"/>
              <w:b/>
              <w:bCs/>
              <w:kern w:val="2"/>
              <w:sz w:val="21"/>
              <w:szCs w:val="22"/>
              <w:highlight w:val="yellow"/>
              <w:lang w:val="zh-CN"/>
            </w:rPr>
            <w:sectPr>
              <w:type w:val="oddPage"/>
              <w:pgSz w:w="11906" w:h="16838"/>
              <w:pgMar w:top="2098" w:right="1474" w:bottom="1985" w:left="1588" w:header="851" w:footer="1474" w:gutter="0"/>
              <w:pgNumType w:start="1"/>
              <w:cols w:space="425" w:num="1"/>
              <w:docGrid w:type="linesAndChars" w:linePitch="579" w:charSpace="3247"/>
            </w:sectPr>
          </w:pPr>
          <w:r>
            <w:rPr>
              <w:bCs/>
              <w:highlight w:val="none"/>
              <w:lang w:val="zh-CN"/>
            </w:rPr>
            <w:fldChar w:fldCharType="end"/>
          </w:r>
        </w:p>
      </w:sdtContent>
    </w:sdt>
    <w:bookmarkEnd w:id="1"/>
    <w:bookmarkEnd w:id="2"/>
    <w:bookmarkEnd w:id="3"/>
    <w:bookmarkEnd w:id="4"/>
    <w:p>
      <w:pPr>
        <w:keepNext w:val="0"/>
        <w:keepLines w:val="0"/>
        <w:pageBreakBefore w:val="0"/>
        <w:widowControl/>
        <w:kinsoku/>
        <w:wordWrap/>
        <w:overflowPunct/>
        <w:topLinePunct w:val="0"/>
        <w:autoSpaceDE/>
        <w:autoSpaceDN/>
        <w:bidi w:val="0"/>
        <w:adjustRightInd/>
        <w:snapToGrid/>
        <w:spacing w:before="150" w:after="100" w:afterAutospacing="1" w:line="560" w:lineRule="exact"/>
        <w:jc w:val="center"/>
        <w:textAlignment w:val="auto"/>
        <w:outlineLvl w:val="9"/>
        <w:rPr>
          <w:rFonts w:hint="eastAsia" w:ascii="方正小标宋简体" w:eastAsia="方正小标宋简体"/>
          <w:sz w:val="44"/>
          <w:szCs w:val="44"/>
          <w:highlight w:val="none"/>
          <w:shd w:val="clear" w:color="auto" w:fill="FFFFFF" w:themeFill="background1"/>
          <w:lang w:eastAsia="zh-CN"/>
        </w:rPr>
      </w:pPr>
      <w:r>
        <w:rPr>
          <w:rFonts w:hint="eastAsia" w:ascii="方正小标宋简体" w:eastAsia="方正小标宋简体"/>
          <w:sz w:val="44"/>
          <w:szCs w:val="44"/>
          <w:highlight w:val="none"/>
          <w:shd w:val="clear" w:color="auto" w:fill="FFFFFF" w:themeFill="background1"/>
          <w:lang w:eastAsia="zh-CN"/>
        </w:rPr>
        <w:t>重庆市梁平区自主可控功率半导体离散型</w:t>
      </w:r>
    </w:p>
    <w:p>
      <w:pPr>
        <w:keepNext w:val="0"/>
        <w:keepLines w:val="0"/>
        <w:pageBreakBefore w:val="0"/>
        <w:widowControl/>
        <w:kinsoku/>
        <w:wordWrap/>
        <w:overflowPunct/>
        <w:topLinePunct w:val="0"/>
        <w:autoSpaceDE/>
        <w:autoSpaceDN/>
        <w:bidi w:val="0"/>
        <w:adjustRightInd/>
        <w:snapToGrid/>
        <w:spacing w:before="150" w:after="100" w:afterAutospacing="1" w:line="560" w:lineRule="exact"/>
        <w:jc w:val="center"/>
        <w:textAlignment w:val="auto"/>
        <w:outlineLvl w:val="9"/>
        <w:rPr>
          <w:rFonts w:hint="eastAsia" w:ascii="方正小标宋简体" w:eastAsia="方正小标宋简体"/>
          <w:sz w:val="44"/>
          <w:szCs w:val="44"/>
          <w:highlight w:val="none"/>
          <w:shd w:val="clear" w:color="auto" w:fill="FFFFFF" w:themeFill="background1"/>
          <w:lang w:eastAsia="zh-CN"/>
        </w:rPr>
      </w:pPr>
      <w:r>
        <w:rPr>
          <w:rFonts w:hint="eastAsia" w:ascii="方正小标宋简体" w:eastAsia="方正小标宋简体"/>
          <w:sz w:val="44"/>
          <w:szCs w:val="44"/>
          <w:highlight w:val="none"/>
          <w:shd w:val="clear" w:color="auto" w:fill="FFFFFF" w:themeFill="background1"/>
          <w:lang w:eastAsia="zh-CN"/>
        </w:rPr>
        <w:t>智能制造车间建设项目</w:t>
      </w:r>
      <w:bookmarkStart w:id="9" w:name="_Toc31014"/>
      <w:bookmarkStart w:id="10" w:name="_Toc28669"/>
    </w:p>
    <w:p>
      <w:pPr>
        <w:keepNext w:val="0"/>
        <w:keepLines w:val="0"/>
        <w:pageBreakBefore w:val="0"/>
        <w:widowControl/>
        <w:kinsoku/>
        <w:wordWrap/>
        <w:overflowPunct/>
        <w:topLinePunct w:val="0"/>
        <w:autoSpaceDE/>
        <w:autoSpaceDN/>
        <w:bidi w:val="0"/>
        <w:adjustRightInd/>
        <w:snapToGrid/>
        <w:spacing w:before="150" w:after="100" w:afterAutospacing="1" w:line="560" w:lineRule="exact"/>
        <w:jc w:val="center"/>
        <w:textAlignment w:val="auto"/>
        <w:outlineLvl w:val="0"/>
        <w:rPr>
          <w:rFonts w:ascii="方正小标宋简体" w:eastAsia="方正小标宋简体"/>
          <w:b w:val="0"/>
          <w:bCs w:val="0"/>
          <w:kern w:val="30"/>
          <w:highlight w:val="none"/>
          <w:shd w:val="clear" w:color="auto" w:fill="FFFFFF" w:themeFill="background1"/>
        </w:rPr>
      </w:pPr>
      <w:bookmarkStart w:id="11" w:name="_Toc30785"/>
      <w:r>
        <w:rPr>
          <w:rFonts w:hint="eastAsia" w:ascii="方正小标宋简体" w:eastAsia="方正小标宋简体"/>
          <w:sz w:val="44"/>
          <w:szCs w:val="44"/>
          <w:highlight w:val="none"/>
          <w:shd w:val="clear" w:color="auto" w:fill="FFFFFF" w:themeFill="background1"/>
          <w:lang w:eastAsia="zh-CN"/>
        </w:rPr>
        <w:t>绩效评价报告</w:t>
      </w:r>
      <w:bookmarkEnd w:id="9"/>
      <w:r>
        <w:rPr>
          <w:rFonts w:hint="eastAsia" w:ascii="方正小标宋简体" w:eastAsia="方正小标宋简体"/>
          <w:sz w:val="44"/>
          <w:szCs w:val="44"/>
          <w:highlight w:val="none"/>
          <w:shd w:val="clear" w:color="auto" w:fill="FFFFFF" w:themeFill="background1"/>
          <w:lang w:eastAsia="zh-CN"/>
        </w:rPr>
        <w:t>摘要</w:t>
      </w:r>
      <w:bookmarkEnd w:id="10"/>
      <w:bookmarkEnd w:id="11"/>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rPr>
          <w:rFonts w:ascii="黑体" w:hAnsi="黑体" w:eastAsia="黑体"/>
          <w:szCs w:val="30"/>
          <w:highlight w:val="none"/>
          <w:shd w:val="clear" w:color="auto" w:fill="FFFFFF" w:themeFill="background1"/>
        </w:rPr>
      </w:pPr>
      <w:r>
        <w:rPr>
          <w:rFonts w:hint="eastAsia" w:ascii="黑体" w:hAnsi="黑体" w:eastAsia="黑体"/>
          <w:szCs w:val="30"/>
          <w:highlight w:val="none"/>
          <w:shd w:val="clear" w:color="auto" w:fill="FFFFFF" w:themeFill="background1"/>
        </w:rPr>
        <w:t>一、项目基本情况</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（一）项目名称：重庆市梁平区自主可控功率半导体离散型智能制造车间建设项目（以下简称“自主可控功率半导体离散型智能制造车间建设项目”）。</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（二）项目主管部门：重庆市梁平区经济和信息化委员会（以下简称“区经信委”）。</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三）项目实施单位：本项目的实施单位为联合体形式，项目责任单位为重庆平伟实业股份有限公司（以下简称“平伟公司”），项目联合单位为重庆赛宝工业技术研究院、工业和信息化部电子第五研究所、大连佳峰自动化股份有限公司、重庆大学。</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四）项目实施内容：自主可控功率半导体离散型智能制造车间建设项目主要建设内容为结合功率半导体行业工艺、制造特点，规划设计一套自主可控功率半导体离散型智能制造车间模型，攻克自主可控功率半导体核心工艺智能化技术，新增、升级和集成应用核心智能装备、智能装备物联感知平台、产品数据管理系统、智能制造执行系统、企业资源计划管理系统、全生命周期质量管理等软硬件系统，打造自主可控功率半导体离散型智能制造车间，提升企业核心竞争能力，取得显著的应用效益，并开展新模式的应用示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（五）项目建设周期：自主可控功率半导体离散型智能制造车间建设项目建设周期为2017年6月至2019年12月。</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六）项目总体投资情况：自主可控功率半导体离散型智能制造车间建设项目预算总投资21,215.19万元，其中平伟公司自筹19,215.19万元，中央专项经费2,000.00万元（“渝财产业〔2017〕204号”下达中央专项补助资金1,000.00万元，“渝财产业〔2020〕225号”下达中央专项补助资金1,000.00万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（七）绩效评价范围：本次绩效评价范围为《重庆市财政局关于提前下达2021年制造业高质量发展中央专项资金预算的通知》（渝财产业〔2020〕225号）下达的2021年中央专项资金补助1,000.00万元。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rPr>
          <w:rFonts w:ascii="黑体" w:hAnsi="黑体" w:eastAsia="黑体"/>
          <w:szCs w:val="30"/>
          <w:highlight w:val="none"/>
          <w:shd w:val="clear" w:color="auto" w:fill="FFFFFF" w:themeFill="background1"/>
        </w:rPr>
      </w:pPr>
      <w:r>
        <w:rPr>
          <w:rFonts w:hint="eastAsia" w:ascii="黑体" w:hAnsi="黑体" w:eastAsia="黑体"/>
          <w:szCs w:val="30"/>
          <w:highlight w:val="none"/>
          <w:shd w:val="clear" w:color="auto" w:fill="FFFFFF" w:themeFill="background1"/>
        </w:rPr>
        <w:t>二、绩效评价结果</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bookmarkStart w:id="12" w:name="_MON_1536732316"/>
      <w:bookmarkEnd w:id="12"/>
      <w:r>
        <w:rPr>
          <w:rFonts w:hint="eastAsia" w:hAnsi="仿宋" w:cs="Times New Roman"/>
          <w:szCs w:val="30"/>
          <w:highlight w:val="none"/>
          <w:lang w:val="en-US" w:eastAsia="zh-CN"/>
        </w:rPr>
        <w:t>通过综合评价，重庆市梁平区自主可控功率半导体离散型智能制造车间建设项目综合得分为94.00分，评价等级为“优”。具体评分情况如下：</w:t>
      </w:r>
    </w:p>
    <w:tbl>
      <w:tblPr>
        <w:tblStyle w:val="26"/>
        <w:tblW w:w="8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2172"/>
        <w:gridCol w:w="2268"/>
        <w:gridCol w:w="2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一级指标</w:t>
            </w:r>
          </w:p>
        </w:tc>
        <w:tc>
          <w:tcPr>
            <w:tcW w:w="2172"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标准分值</w:t>
            </w:r>
          </w:p>
        </w:tc>
        <w:tc>
          <w:tcPr>
            <w:tcW w:w="2268"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评价得分</w:t>
            </w:r>
          </w:p>
        </w:tc>
        <w:tc>
          <w:tcPr>
            <w:tcW w:w="2179"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决策</w:t>
            </w:r>
          </w:p>
        </w:tc>
        <w:tc>
          <w:tcPr>
            <w:tcW w:w="2172"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20</w:t>
            </w:r>
            <w:r>
              <w:rPr>
                <w:rFonts w:hint="eastAsia" w:hAnsi="仿宋" w:cs="仿宋"/>
                <w:sz w:val="24"/>
                <w:szCs w:val="24"/>
                <w:highlight w:val="none"/>
                <w:shd w:val="clear" w:color="auto" w:fill="FFFFFF" w:themeFill="background1"/>
                <w:lang w:val="en-US" w:eastAsia="zh-CN"/>
              </w:rPr>
              <w:t>.00</w:t>
            </w:r>
          </w:p>
        </w:tc>
        <w:tc>
          <w:tcPr>
            <w:tcW w:w="2268"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1</w:t>
            </w:r>
            <w:r>
              <w:rPr>
                <w:rFonts w:hint="eastAsia" w:hAnsi="仿宋" w:cs="仿宋"/>
                <w:sz w:val="24"/>
                <w:szCs w:val="24"/>
                <w:highlight w:val="none"/>
                <w:shd w:val="clear" w:color="auto" w:fill="FFFFFF" w:themeFill="background1"/>
                <w:lang w:val="en-US" w:eastAsia="zh-CN"/>
              </w:rPr>
              <w:t>8</w:t>
            </w:r>
            <w:r>
              <w:rPr>
                <w:rFonts w:hint="eastAsia" w:hAnsi="仿宋" w:cs="仿宋"/>
                <w:sz w:val="24"/>
                <w:szCs w:val="24"/>
                <w:highlight w:val="none"/>
                <w:shd w:val="clear" w:color="auto" w:fill="FFFFFF" w:themeFill="background1"/>
              </w:rPr>
              <w:t>.00</w:t>
            </w:r>
          </w:p>
        </w:tc>
        <w:tc>
          <w:tcPr>
            <w:tcW w:w="2179"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90</w:t>
            </w:r>
            <w:r>
              <w:rPr>
                <w:rFonts w:hint="eastAsia" w:hAnsi="仿宋" w:cs="仿宋"/>
                <w:sz w:val="24"/>
                <w:szCs w:val="24"/>
                <w:highlight w:val="none"/>
                <w:shd w:val="clear" w:color="auto" w:fill="FFFFFF" w:themeFill="background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过程</w:t>
            </w:r>
          </w:p>
        </w:tc>
        <w:tc>
          <w:tcPr>
            <w:tcW w:w="2172"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20</w:t>
            </w:r>
            <w:r>
              <w:rPr>
                <w:rFonts w:hint="eastAsia" w:hAnsi="仿宋" w:cs="仿宋"/>
                <w:sz w:val="24"/>
                <w:szCs w:val="24"/>
                <w:highlight w:val="none"/>
                <w:shd w:val="clear" w:color="auto" w:fill="FFFFFF" w:themeFill="background1"/>
                <w:lang w:val="en-US" w:eastAsia="zh-CN"/>
              </w:rPr>
              <w:t>.00</w:t>
            </w:r>
          </w:p>
        </w:tc>
        <w:tc>
          <w:tcPr>
            <w:tcW w:w="2268"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1</w:t>
            </w:r>
            <w:r>
              <w:rPr>
                <w:rFonts w:hint="eastAsia" w:hAnsi="仿宋" w:cs="仿宋"/>
                <w:sz w:val="24"/>
                <w:szCs w:val="24"/>
                <w:highlight w:val="none"/>
                <w:shd w:val="clear" w:color="auto" w:fill="FFFFFF" w:themeFill="background1"/>
                <w:lang w:val="en-US" w:eastAsia="zh-CN"/>
              </w:rPr>
              <w:t>8.0</w:t>
            </w:r>
            <w:r>
              <w:rPr>
                <w:rFonts w:hint="eastAsia" w:hAnsi="仿宋" w:cs="仿宋"/>
                <w:sz w:val="24"/>
                <w:szCs w:val="24"/>
                <w:highlight w:val="none"/>
                <w:shd w:val="clear" w:color="auto" w:fill="FFFFFF" w:themeFill="background1"/>
              </w:rPr>
              <w:t>0</w:t>
            </w:r>
          </w:p>
        </w:tc>
        <w:tc>
          <w:tcPr>
            <w:tcW w:w="2179"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90.0</w:t>
            </w:r>
            <w:r>
              <w:rPr>
                <w:rFonts w:hint="eastAsia" w:hAnsi="仿宋" w:cs="仿宋"/>
                <w:sz w:val="24"/>
                <w:szCs w:val="24"/>
                <w:highlight w:val="none"/>
                <w:shd w:val="clear" w:color="auto" w:fill="FFFFFF" w:themeFill="background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产出</w:t>
            </w:r>
          </w:p>
        </w:tc>
        <w:tc>
          <w:tcPr>
            <w:tcW w:w="2172"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30</w:t>
            </w:r>
            <w:r>
              <w:rPr>
                <w:rFonts w:hint="eastAsia" w:hAnsi="仿宋" w:cs="仿宋"/>
                <w:sz w:val="24"/>
                <w:szCs w:val="24"/>
                <w:highlight w:val="none"/>
                <w:shd w:val="clear" w:color="auto" w:fill="FFFFFF" w:themeFill="background1"/>
                <w:lang w:val="en-US" w:eastAsia="zh-CN"/>
              </w:rPr>
              <w:t>.00</w:t>
            </w:r>
          </w:p>
        </w:tc>
        <w:tc>
          <w:tcPr>
            <w:tcW w:w="2268"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28.00</w:t>
            </w:r>
          </w:p>
        </w:tc>
        <w:tc>
          <w:tcPr>
            <w:tcW w:w="2179"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93.33%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效益</w:t>
            </w:r>
          </w:p>
        </w:tc>
        <w:tc>
          <w:tcPr>
            <w:tcW w:w="2172"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30</w:t>
            </w:r>
            <w:r>
              <w:rPr>
                <w:rFonts w:hint="eastAsia" w:hAnsi="仿宋" w:cs="仿宋"/>
                <w:sz w:val="24"/>
                <w:szCs w:val="24"/>
                <w:highlight w:val="none"/>
                <w:shd w:val="clear" w:color="auto" w:fill="FFFFFF" w:themeFill="background1"/>
                <w:lang w:val="en-US" w:eastAsia="zh-CN"/>
              </w:rPr>
              <w:t>.00</w:t>
            </w:r>
          </w:p>
        </w:tc>
        <w:tc>
          <w:tcPr>
            <w:tcW w:w="2268"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30</w:t>
            </w:r>
            <w:r>
              <w:rPr>
                <w:rFonts w:hint="eastAsia" w:hAnsi="仿宋" w:cs="仿宋"/>
                <w:sz w:val="24"/>
                <w:szCs w:val="24"/>
                <w:highlight w:val="none"/>
                <w:shd w:val="clear" w:color="auto" w:fill="FFFFFF" w:themeFill="background1"/>
              </w:rPr>
              <w:t>.00</w:t>
            </w:r>
          </w:p>
        </w:tc>
        <w:tc>
          <w:tcPr>
            <w:tcW w:w="2179"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100.00</w:t>
            </w:r>
            <w:r>
              <w:rPr>
                <w:rFonts w:hint="eastAsia" w:hAnsi="仿宋" w:cs="仿宋"/>
                <w:sz w:val="24"/>
                <w:szCs w:val="24"/>
                <w:highlight w:val="none"/>
                <w:shd w:val="clear" w:color="auto" w:fill="FFFFFF" w:themeFill="background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小计</w:t>
            </w:r>
          </w:p>
        </w:tc>
        <w:tc>
          <w:tcPr>
            <w:tcW w:w="2172"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b/>
                <w:bCs/>
                <w:sz w:val="24"/>
                <w:szCs w:val="24"/>
                <w:highlight w:val="none"/>
                <w:shd w:val="clear" w:color="auto" w:fill="FFFFFF" w:themeFill="background1"/>
                <w:lang w:val="en-US" w:eastAsia="zh-CN"/>
              </w:rPr>
            </w:pPr>
            <w:r>
              <w:rPr>
                <w:rFonts w:hint="eastAsia" w:hAnsi="仿宋" w:cs="仿宋"/>
                <w:b/>
                <w:bCs/>
                <w:sz w:val="24"/>
                <w:szCs w:val="24"/>
                <w:highlight w:val="none"/>
                <w:shd w:val="clear" w:color="auto" w:fill="FFFFFF" w:themeFill="background1"/>
              </w:rPr>
              <w:t>100</w:t>
            </w:r>
            <w:r>
              <w:rPr>
                <w:rFonts w:hint="eastAsia" w:hAnsi="仿宋" w:cs="仿宋"/>
                <w:b/>
                <w:bCs/>
                <w:sz w:val="24"/>
                <w:szCs w:val="24"/>
                <w:highlight w:val="none"/>
                <w:shd w:val="clear" w:color="auto" w:fill="FFFFFF" w:themeFill="background1"/>
                <w:lang w:val="en-US" w:eastAsia="zh-CN"/>
              </w:rPr>
              <w:t>.00</w:t>
            </w:r>
          </w:p>
        </w:tc>
        <w:tc>
          <w:tcPr>
            <w:tcW w:w="2268"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b/>
                <w:bCs/>
                <w:sz w:val="24"/>
                <w:szCs w:val="24"/>
                <w:highlight w:val="none"/>
                <w:shd w:val="clear" w:color="auto" w:fill="FFFFFF" w:themeFill="background1"/>
                <w:lang w:val="en-US" w:eastAsia="zh-CN"/>
              </w:rPr>
            </w:pPr>
            <w:r>
              <w:rPr>
                <w:rFonts w:hint="eastAsia" w:hAnsi="仿宋" w:cs="仿宋"/>
                <w:b/>
                <w:bCs/>
                <w:sz w:val="24"/>
                <w:szCs w:val="24"/>
                <w:highlight w:val="none"/>
                <w:shd w:val="clear" w:color="auto" w:fill="FFFFFF" w:themeFill="background1"/>
              </w:rPr>
              <w:t>9</w:t>
            </w:r>
            <w:r>
              <w:rPr>
                <w:rFonts w:hint="eastAsia" w:hAnsi="仿宋" w:cs="仿宋"/>
                <w:b/>
                <w:bCs/>
                <w:sz w:val="24"/>
                <w:szCs w:val="24"/>
                <w:highlight w:val="none"/>
                <w:shd w:val="clear" w:color="auto" w:fill="FFFFFF" w:themeFill="background1"/>
                <w:lang w:val="en-US" w:eastAsia="zh-CN"/>
              </w:rPr>
              <w:t>4.00</w:t>
            </w:r>
          </w:p>
        </w:tc>
        <w:tc>
          <w:tcPr>
            <w:tcW w:w="2179"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9</w:t>
            </w:r>
            <w:r>
              <w:rPr>
                <w:rFonts w:hint="eastAsia" w:hAnsi="仿宋" w:cs="仿宋"/>
                <w:b/>
                <w:bCs/>
                <w:sz w:val="24"/>
                <w:szCs w:val="24"/>
                <w:highlight w:val="none"/>
                <w:shd w:val="clear" w:color="auto" w:fill="FFFFFF" w:themeFill="background1"/>
                <w:lang w:val="en-US" w:eastAsia="zh-CN"/>
              </w:rPr>
              <w:t>4.00</w:t>
            </w:r>
            <w:r>
              <w:rPr>
                <w:rFonts w:hint="eastAsia" w:hAnsi="仿宋" w:cs="仿宋"/>
                <w:b/>
                <w:bCs/>
                <w:sz w:val="24"/>
                <w:szCs w:val="24"/>
                <w:highlight w:val="none"/>
                <w:shd w:val="clear" w:color="auto" w:fill="FFFFFF" w:themeFill="background1"/>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rPr>
          <w:rFonts w:hint="eastAsia" w:ascii="黑体" w:hAnsi="黑体" w:eastAsia="黑体"/>
          <w:szCs w:val="30"/>
          <w:highlight w:val="none"/>
          <w:shd w:val="clear" w:color="auto" w:fill="FFFFFF" w:themeFill="background1"/>
        </w:rPr>
      </w:pPr>
      <w:r>
        <w:rPr>
          <w:rFonts w:hint="eastAsia" w:ascii="黑体" w:hAnsi="黑体" w:eastAsia="黑体"/>
          <w:szCs w:val="30"/>
          <w:highlight w:val="none"/>
          <w:shd w:val="clear" w:color="auto" w:fill="FFFFFF" w:themeFill="background1"/>
          <w:lang w:val="en-US" w:eastAsia="zh-CN"/>
        </w:rPr>
        <w:t>三、</w:t>
      </w:r>
      <w:r>
        <w:rPr>
          <w:rFonts w:hint="eastAsia" w:ascii="黑体" w:hAnsi="黑体" w:eastAsia="黑体"/>
          <w:szCs w:val="30"/>
          <w:highlight w:val="none"/>
          <w:shd w:val="clear" w:color="auto" w:fill="FFFFFF" w:themeFill="background1"/>
        </w:rPr>
        <w:t>综合结论</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通过绩效分析，综合评价认为：</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重庆市梁平区自主可控功率半导体离散型智能制造车间建设项目对促进智能制造新模式在功率半导体制造企业运用、提升功率半导体行业综合核心竞争能力发挥了积极的作用。在项目实施过程中，相关部门组织机构运转协调有效、档案资料保存较好，保障了项目顺利实施。但也存在以下问题和不足，包括：项目绩效指标部分缺失，指标设置完整性不足；项目调整手续办理过晚，存在规避项目超期嫌疑；实施单位上报数据错误，监管力度待加强。</w:t>
      </w:r>
    </w:p>
    <w:p>
      <w:pPr>
        <w:spacing w:line="600" w:lineRule="exact"/>
        <w:ind w:firstLine="630" w:firstLineChars="200"/>
        <w:rPr>
          <w:rFonts w:ascii="黑体" w:hAnsi="黑体" w:eastAsia="黑体"/>
          <w:szCs w:val="30"/>
          <w:highlight w:val="none"/>
          <w:shd w:val="clear" w:color="auto" w:fill="FFFFFF" w:themeFill="background1"/>
        </w:rPr>
      </w:pPr>
      <w:r>
        <w:rPr>
          <w:rFonts w:hint="eastAsia" w:ascii="黑体" w:hAnsi="黑体" w:eastAsia="黑体"/>
          <w:szCs w:val="30"/>
          <w:highlight w:val="none"/>
          <w:shd w:val="clear" w:color="auto" w:fill="FFFFFF" w:themeFill="background1"/>
          <w:lang w:val="en-US" w:eastAsia="zh-CN"/>
        </w:rPr>
        <w:t>四</w:t>
      </w:r>
      <w:r>
        <w:rPr>
          <w:rFonts w:hint="eastAsia" w:ascii="黑体" w:hAnsi="黑体" w:eastAsia="黑体"/>
          <w:szCs w:val="30"/>
          <w:highlight w:val="none"/>
          <w:shd w:val="clear" w:color="auto" w:fill="FFFFFF" w:themeFill="background1"/>
        </w:rPr>
        <w:t>、存在的主要问题和不足</w:t>
      </w:r>
    </w:p>
    <w:bookmarkEnd w:id="5"/>
    <w:p>
      <w:pPr>
        <w:spacing w:line="600" w:lineRule="exact"/>
        <w:ind w:firstLine="630" w:firstLineChars="200"/>
        <w:outlineLvl w:val="9"/>
        <w:rPr>
          <w:rFonts w:ascii="楷体" w:hAnsi="楷体" w:eastAsia="楷体"/>
          <w:szCs w:val="30"/>
          <w:highlight w:val="none"/>
          <w:shd w:val="clear" w:color="auto" w:fill="FFFFFF" w:themeFill="background1"/>
        </w:rPr>
      </w:pPr>
      <w:r>
        <w:rPr>
          <w:rFonts w:hint="eastAsia" w:ascii="楷体" w:hAnsi="楷体" w:eastAsia="楷体"/>
          <w:szCs w:val="30"/>
          <w:highlight w:val="none"/>
          <w:shd w:val="clear" w:color="auto" w:fill="FFFFFF" w:themeFill="background1"/>
        </w:rPr>
        <w:t>（一）项目绩效</w:t>
      </w:r>
      <w:r>
        <w:rPr>
          <w:rFonts w:hint="eastAsia" w:ascii="楷体" w:hAnsi="楷体" w:eastAsia="楷体"/>
          <w:szCs w:val="30"/>
          <w:highlight w:val="none"/>
          <w:shd w:val="clear" w:color="auto" w:fill="FFFFFF" w:themeFill="background1"/>
          <w:lang w:val="en-US" w:eastAsia="zh-CN"/>
        </w:rPr>
        <w:t>指</w:t>
      </w:r>
      <w:r>
        <w:rPr>
          <w:rFonts w:hint="eastAsia" w:ascii="楷体" w:hAnsi="楷体" w:eastAsia="楷体"/>
          <w:szCs w:val="30"/>
          <w:highlight w:val="none"/>
          <w:shd w:val="clear" w:color="auto" w:fill="FFFFFF" w:themeFill="background1"/>
        </w:rPr>
        <w:t>标</w:t>
      </w:r>
      <w:r>
        <w:rPr>
          <w:rFonts w:hint="eastAsia" w:ascii="楷体" w:hAnsi="楷体" w:eastAsia="楷体"/>
          <w:szCs w:val="30"/>
          <w:highlight w:val="none"/>
          <w:shd w:val="clear" w:color="auto" w:fill="FFFFFF" w:themeFill="background1"/>
          <w:lang w:val="en-US" w:eastAsia="zh-CN"/>
        </w:rPr>
        <w:t>部分缺失，指标设置</w:t>
      </w:r>
      <w:r>
        <w:rPr>
          <w:rFonts w:hint="eastAsia" w:ascii="楷体" w:hAnsi="楷体" w:eastAsia="楷体"/>
          <w:szCs w:val="30"/>
          <w:highlight w:val="none"/>
          <w:shd w:val="clear" w:color="auto" w:fill="FFFFFF" w:themeFill="background1"/>
        </w:rPr>
        <w:t>完整性不足</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因区经信委和平伟公司未根据本项目编制绩效目标申报表，也未按“渝财产业〔2020〕225号”文件要求在预算执行结束后对照绩效目标开展绩效自评，评价小组暂以《项目建设实施和支出绩效目标执行监控表》评判绩效指标明确性。</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评价认为，上述监控表中绩效指标虽将项目绩效目标进行细化分解，但仍存在以下问题：一是未将绩效目标所有内容全部分解成具体的绩效指标，如“实现功率半导体器件年产在原有10亿只基础上新增产6亿只，新增产值4.5亿元”等未设置对应的绩效指标；二是绩效目标执行监控表仅笼统设置了5个绩效指标，未将绩效目标进一步细化分解成三级指标分别设置；指标设置不完整，将绩效目标执行监控表中绩效指标整理发现，上述5个指标均为产出指标，缺少效益及满意度指标。综上，绩效目标执行监控表未将绩效目标全部分解为具体绩效指标，且项目指标设置不满足“绩效指标清晰、细化、可衡量”的标准。</w:t>
      </w:r>
    </w:p>
    <w:p>
      <w:pPr>
        <w:keepNext w:val="0"/>
        <w:keepLines w:val="0"/>
        <w:widowControl/>
        <w:suppressLineNumbers w:val="0"/>
        <w:spacing w:before="0" w:beforeAutospacing="0" w:after="0" w:afterAutospacing="0" w:line="600" w:lineRule="exact"/>
        <w:ind w:left="0" w:right="0" w:firstLine="630" w:firstLineChars="200"/>
        <w:jc w:val="both"/>
        <w:outlineLvl w:val="9"/>
        <w:rPr>
          <w:rFonts w:hint="default" w:ascii="楷体" w:hAnsi="楷体" w:eastAsia="楷体" w:cs="宋体"/>
          <w:kern w:val="0"/>
          <w:sz w:val="30"/>
          <w:szCs w:val="30"/>
          <w:shd w:val="clear" w:fill="FFFFFF"/>
          <w:lang w:val="en-US"/>
        </w:rPr>
      </w:pPr>
      <w:r>
        <w:rPr>
          <w:rFonts w:hint="eastAsia" w:ascii="楷体" w:hAnsi="楷体" w:eastAsia="楷体" w:cs="楷体"/>
          <w:kern w:val="0"/>
          <w:sz w:val="30"/>
          <w:szCs w:val="30"/>
          <w:shd w:val="clear" w:fill="FFFFFF"/>
          <w:lang w:val="en-US" w:eastAsia="zh-CN" w:bidi="ar"/>
        </w:rPr>
        <w:t>（二）项目调整手续办理过晚，存在规避项目超期嫌疑</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审查发现，本项目在项目超期之后才申请调整项目工期和预算，项目调整手续办理顺序错误，存在规避项目超期嫌疑。具体表现为：立项批复文件规定本项目完成时间为2019年6月，但本项目竣工验收报告出具时间为2019年12月，项目超工期5月有余。2019年12月1日平伟公司向重庆市经济和信息化委员会（以下简称“市经信委”）递交了项目调整的请示，市经信委组织专家对项目调整内容进行评审后于2019年12月23日下达调整批复：同意本项目延期6个月，调整后实施期为2017年6月－2019年12月，项目完工时间在调整后实施期内。</w:t>
      </w:r>
    </w:p>
    <w:p>
      <w:pPr>
        <w:spacing w:line="600" w:lineRule="exact"/>
        <w:ind w:firstLine="630" w:firstLineChars="200"/>
        <w:outlineLvl w:val="9"/>
        <w:rPr>
          <w:rFonts w:hint="default" w:ascii="楷体" w:hAnsi="楷体" w:eastAsia="楷体"/>
          <w:szCs w:val="30"/>
          <w:highlight w:val="none"/>
          <w:shd w:val="clear" w:color="auto" w:fill="FFFFFF" w:themeFill="background1"/>
          <w:lang w:val="en-US" w:eastAsia="zh-CN"/>
        </w:rPr>
      </w:pPr>
      <w:r>
        <w:rPr>
          <w:rFonts w:hint="eastAsia" w:ascii="楷体" w:hAnsi="楷体" w:eastAsia="楷体"/>
          <w:szCs w:val="30"/>
          <w:highlight w:val="none"/>
          <w:shd w:val="clear" w:color="auto" w:fill="FFFFFF" w:themeFill="background1"/>
        </w:rPr>
        <w:t>（三）</w:t>
      </w:r>
      <w:r>
        <w:rPr>
          <w:rFonts w:hint="eastAsia" w:ascii="楷体" w:hAnsi="楷体" w:eastAsia="楷体"/>
          <w:szCs w:val="30"/>
          <w:highlight w:val="none"/>
          <w:shd w:val="clear" w:color="auto" w:fill="FFFFFF" w:themeFill="background1"/>
          <w:lang w:val="en-US" w:eastAsia="zh-CN"/>
        </w:rPr>
        <w:t>实施单位上报数据错误，监管力度待加强</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根据平伟公司提供的资料发现，项目上报市经信委的文件中存在多个文件数据有误的情况，具体如下：</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审查比对项目验收报告（2019年12月出具）、《工业转型升级、制造业高质量发展资金实施单位项目中期检查报告》（2020年7月上报）、《重庆平伟实业股份有限公司智能制造发展情况》（2021年11月上报）、《关于提供十三五智能制造发展情况总结材料的函－平伟实业智能车间》发现，上述文件中主要考核指标的数据完全一致，如生产效率均提升为28.5%、产品研制周期均缩短40.70%。询问平伟公司相关管理人员得知，上述文件中主要考核指标数据均来源于2019年项目验收报告，并未按市经信委要求的周期填写数据和内容。实施单位填报数据时未按要求进行，导致上报材料数据不准确，相关部门监管力度有待提升。</w:t>
      </w:r>
      <w:bookmarkStart w:id="78" w:name="_GoBack"/>
      <w:bookmarkEnd w:id="78"/>
    </w:p>
    <w:p>
      <w:pPr>
        <w:spacing w:line="600" w:lineRule="exact"/>
        <w:ind w:firstLine="630" w:firstLineChars="200"/>
        <w:rPr>
          <w:rFonts w:ascii="黑体" w:hAnsi="黑体" w:eastAsia="黑体"/>
          <w:szCs w:val="30"/>
          <w:highlight w:val="none"/>
          <w:shd w:val="clear" w:color="auto" w:fill="FFFFFF" w:themeFill="background1"/>
        </w:rPr>
      </w:pPr>
      <w:r>
        <w:rPr>
          <w:rFonts w:hint="eastAsia" w:ascii="黑体" w:hAnsi="黑体" w:eastAsia="黑体"/>
          <w:szCs w:val="30"/>
          <w:highlight w:val="none"/>
          <w:shd w:val="clear" w:color="auto" w:fill="FFFFFF" w:themeFill="background1"/>
          <w:lang w:val="en-US" w:eastAsia="zh-CN"/>
        </w:rPr>
        <w:t>五</w:t>
      </w:r>
      <w:r>
        <w:rPr>
          <w:rFonts w:hint="eastAsia" w:ascii="黑体" w:hAnsi="黑体" w:eastAsia="黑体"/>
          <w:szCs w:val="30"/>
          <w:highlight w:val="none"/>
          <w:shd w:val="clear" w:color="auto" w:fill="FFFFFF" w:themeFill="background1"/>
        </w:rPr>
        <w:t>、主要建议</w:t>
      </w:r>
    </w:p>
    <w:p>
      <w:pPr>
        <w:spacing w:line="600" w:lineRule="exact"/>
        <w:ind w:firstLine="630" w:firstLineChars="200"/>
        <w:jc w:val="left"/>
        <w:outlineLvl w:val="9"/>
        <w:rPr>
          <w:rFonts w:ascii="楷体" w:hAnsi="楷体" w:eastAsia="楷体"/>
          <w:szCs w:val="30"/>
          <w:shd w:val="clear" w:color="auto" w:fill="FFFFFF" w:themeFill="background1"/>
        </w:rPr>
      </w:pPr>
      <w:r>
        <w:rPr>
          <w:rFonts w:hint="eastAsia" w:ascii="楷体" w:hAnsi="楷体" w:eastAsia="楷体"/>
          <w:szCs w:val="30"/>
          <w:highlight w:val="none"/>
          <w:shd w:val="clear" w:color="auto" w:fill="FFFFFF" w:themeFill="background1"/>
          <w:lang w:eastAsia="zh-CN"/>
        </w:rPr>
        <w:t>（一）</w:t>
      </w:r>
      <w:r>
        <w:rPr>
          <w:rFonts w:hint="eastAsia" w:ascii="楷体" w:hAnsi="楷体" w:eastAsia="楷体"/>
          <w:szCs w:val="30"/>
          <w:highlight w:val="none"/>
          <w:shd w:val="clear" w:color="auto" w:fill="FFFFFF" w:themeFill="background1"/>
          <w:lang w:val="en-US" w:eastAsia="zh-CN"/>
        </w:rPr>
        <w:t>按规定设置绩效目标申报表</w:t>
      </w:r>
      <w:r>
        <w:rPr>
          <w:rFonts w:hint="eastAsia" w:ascii="楷体" w:hAnsi="楷体" w:eastAsia="楷体"/>
          <w:szCs w:val="30"/>
          <w:shd w:val="clear" w:color="auto" w:fill="FFFFFF" w:themeFill="background1"/>
        </w:rPr>
        <w:t>，细化项目绩效指标设置</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项目实施单位应注重绩效目标与一般指标的设置，严格按照《重庆市财政局关于印发〈重庆市市级政策和项目预算绩效管理办法（试行）〉的通知》（渝财绩〔2019〕19号）文件要求执行，在年初设置项目绩效目标，明确项目实施所要达到的目标及效果，通过本年度预算与项目任务的匹配性分析，合理设置项目投入、过程、产出及效果指标，指标设置要量化、具体、细化。通过将任务和要求等内容的指标化，有助于提升绩效目标对工作开展的指导性，保证项目开展效果的实现。</w:t>
      </w:r>
    </w:p>
    <w:p>
      <w:pPr>
        <w:keepNext w:val="0"/>
        <w:keepLines w:val="0"/>
        <w:widowControl/>
        <w:suppressLineNumbers w:val="0"/>
        <w:spacing w:before="0" w:beforeAutospacing="0" w:after="0" w:afterAutospacing="0" w:line="600" w:lineRule="exact"/>
        <w:ind w:left="0" w:right="0" w:firstLine="630" w:firstLineChars="200"/>
        <w:jc w:val="both"/>
        <w:outlineLvl w:val="9"/>
        <w:rPr>
          <w:rFonts w:hint="eastAsia" w:ascii="楷体" w:hAnsi="楷体" w:eastAsia="楷体" w:cs="宋体"/>
          <w:kern w:val="0"/>
          <w:sz w:val="30"/>
          <w:szCs w:val="30"/>
          <w:shd w:val="clear" w:fill="FFFFFF"/>
        </w:rPr>
      </w:pPr>
      <w:r>
        <w:rPr>
          <w:rFonts w:hint="eastAsia" w:ascii="楷体" w:hAnsi="楷体" w:eastAsia="楷体" w:cs="楷体"/>
          <w:kern w:val="0"/>
          <w:sz w:val="30"/>
          <w:szCs w:val="30"/>
          <w:shd w:val="clear" w:fill="FFFFFF"/>
          <w:lang w:val="en-US" w:eastAsia="zh-CN" w:bidi="ar"/>
        </w:rPr>
        <w:t>（二）严格遵循项目手续办理顺序，确保项目程序合规</w:t>
      </w:r>
    </w:p>
    <w:p>
      <w:pPr>
        <w:spacing w:line="600" w:lineRule="exact"/>
        <w:ind w:firstLine="630" w:firstLineChars="200"/>
        <w:jc w:val="both"/>
        <w:rPr>
          <w:rFonts w:hint="default" w:hAnsi="仿宋" w:cs="Times New Roman"/>
          <w:szCs w:val="30"/>
          <w:highlight w:val="none"/>
          <w:lang w:val="en-US" w:eastAsia="zh-CN"/>
        </w:rPr>
      </w:pPr>
      <w:r>
        <w:rPr>
          <w:rFonts w:hint="eastAsia" w:hAnsi="仿宋" w:cs="Times New Roman"/>
          <w:szCs w:val="30"/>
          <w:highlight w:val="none"/>
          <w:lang w:val="en-US" w:eastAsia="zh-CN"/>
        </w:rPr>
        <w:t>实施单位在工作开展过程中要注重项目的统筹全盘管理。从项目立项到项目竣工决算期间制定全方位管理机制，严格遵循基本建设程序，在项目实施过程全面参与监督确保项目保质保量地完成。针对本项目而言，项目调整请示应该在项目立项批复时间范围内提出，而非在项目已明显超期后进行，避免项目手续办理违反规定，确保项目程序合规。</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9"/>
        <w:rPr>
          <w:rFonts w:hint="default" w:ascii="楷体" w:hAnsi="楷体" w:eastAsia="楷体"/>
          <w:szCs w:val="30"/>
          <w:highlight w:val="none"/>
          <w:shd w:val="clear" w:color="auto" w:fill="FFFFFF" w:themeFill="background1"/>
          <w:lang w:val="en-US" w:eastAsia="zh-CN"/>
        </w:rPr>
      </w:pPr>
      <w:r>
        <w:rPr>
          <w:rFonts w:hint="eastAsia" w:ascii="楷体" w:hAnsi="楷体" w:eastAsia="楷体"/>
          <w:szCs w:val="30"/>
          <w:highlight w:val="none"/>
          <w:shd w:val="clear" w:color="auto" w:fill="FFFFFF" w:themeFill="background1"/>
        </w:rPr>
        <w:t>（三）</w:t>
      </w:r>
      <w:r>
        <w:rPr>
          <w:rFonts w:hint="eastAsia" w:ascii="楷体" w:hAnsi="楷体" w:eastAsia="楷体"/>
          <w:szCs w:val="30"/>
          <w:highlight w:val="none"/>
          <w:shd w:val="clear" w:color="auto" w:fill="FFFFFF" w:themeFill="background1"/>
          <w:lang w:val="en-US" w:eastAsia="zh-CN"/>
        </w:rPr>
        <w:t>加强项目后续监管力度，避免上传数据不合规</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sectPr>
          <w:footerReference r:id="rId3" w:type="default"/>
          <w:footerReference r:id="rId4" w:type="even"/>
          <w:pgSz w:w="11906" w:h="16838"/>
          <w:pgMar w:top="2098" w:right="1474" w:bottom="1985" w:left="1588" w:header="851" w:footer="1474" w:gutter="0"/>
          <w:pgNumType w:fmt="lowerRoman" w:start="1"/>
          <w:cols w:space="425" w:num="1"/>
          <w:docGrid w:type="linesAndChars" w:linePitch="579" w:charSpace="3247"/>
        </w:sectPr>
      </w:pPr>
      <w:r>
        <w:rPr>
          <w:rFonts w:hint="eastAsia" w:hAnsi="仿宋" w:cs="Times New Roman"/>
          <w:szCs w:val="30"/>
          <w:highlight w:val="none"/>
          <w:lang w:val="en-US" w:eastAsia="zh-CN"/>
        </w:rPr>
        <w:t>本项目属《中国制造2025》文件范围重点项目，上级部门对项目后续运行情况高度重视。特别是对于制造业来讲，上报数据准确性可见一斑。故实施单位应及时调整数据有误的文件，并重新上报至市经信委。同时后续在上报相关数据应严谨核实数据填报区间，相关部门也须严格查证数据真实性和准确性，确保项目填报数据和内容符合上报规定。</w:t>
      </w:r>
    </w:p>
    <w:p>
      <w:pPr>
        <w:keepNext/>
        <w:keepLines/>
        <w:pageBreakBefore w:val="0"/>
        <w:widowControl w:val="0"/>
        <w:kinsoku/>
        <w:wordWrap/>
        <w:overflowPunct/>
        <w:topLinePunct w:val="0"/>
        <w:autoSpaceDE/>
        <w:autoSpaceDN/>
        <w:bidi w:val="0"/>
        <w:adjustRightInd/>
        <w:snapToGrid w:val="0"/>
        <w:spacing w:before="150" w:after="100" w:afterAutospacing="1" w:line="560" w:lineRule="exact"/>
        <w:jc w:val="center"/>
        <w:textAlignment w:val="auto"/>
        <w:outlineLvl w:val="9"/>
        <w:rPr>
          <w:rFonts w:hint="eastAsia" w:ascii="方正小标宋简体" w:hAnsi="方正小标宋简体" w:eastAsia="方正小标宋简体" w:cs="方正小标宋简体"/>
          <w:sz w:val="44"/>
          <w:szCs w:val="44"/>
          <w:highlight w:val="none"/>
          <w:shd w:val="clear" w:color="auto" w:fill="FFFFFF" w:themeFill="background1"/>
          <w:lang w:eastAsia="zh-CN"/>
        </w:rPr>
      </w:pPr>
      <w:r>
        <w:rPr>
          <w:rFonts w:hint="eastAsia" w:ascii="方正小标宋简体" w:hAnsi="方正小标宋简体" w:eastAsia="方正小标宋简体" w:cs="方正小标宋简体"/>
          <w:sz w:val="44"/>
          <w:szCs w:val="44"/>
          <w:highlight w:val="none"/>
          <w:shd w:val="clear" w:color="auto" w:fill="FFFFFF" w:themeFill="background1"/>
          <w:lang w:eastAsia="zh-CN"/>
        </w:rPr>
        <w:t>重庆市梁平区自主可控功率半导体离散型</w:t>
      </w:r>
    </w:p>
    <w:p>
      <w:pPr>
        <w:keepNext/>
        <w:keepLines/>
        <w:pageBreakBefore w:val="0"/>
        <w:widowControl w:val="0"/>
        <w:kinsoku/>
        <w:wordWrap/>
        <w:overflowPunct/>
        <w:topLinePunct w:val="0"/>
        <w:autoSpaceDE/>
        <w:autoSpaceDN/>
        <w:bidi w:val="0"/>
        <w:adjustRightInd/>
        <w:snapToGrid w:val="0"/>
        <w:spacing w:before="150" w:after="100" w:afterAutospacing="1" w:line="560" w:lineRule="exact"/>
        <w:jc w:val="center"/>
        <w:textAlignment w:val="auto"/>
        <w:outlineLvl w:val="9"/>
        <w:rPr>
          <w:rFonts w:hint="eastAsia" w:ascii="方正小标宋简体" w:hAnsi="方正小标宋简体" w:eastAsia="方正小标宋简体" w:cs="方正小标宋简体"/>
          <w:sz w:val="44"/>
          <w:szCs w:val="44"/>
          <w:highlight w:val="none"/>
          <w:shd w:val="clear" w:color="auto" w:fill="FFFFFF" w:themeFill="background1"/>
          <w:lang w:eastAsia="zh-CN"/>
        </w:rPr>
      </w:pPr>
      <w:r>
        <w:rPr>
          <w:rFonts w:hint="eastAsia" w:ascii="方正小标宋简体" w:hAnsi="方正小标宋简体" w:eastAsia="方正小标宋简体" w:cs="方正小标宋简体"/>
          <w:sz w:val="44"/>
          <w:szCs w:val="44"/>
          <w:highlight w:val="none"/>
          <w:shd w:val="clear" w:color="auto" w:fill="FFFFFF" w:themeFill="background1"/>
          <w:lang w:eastAsia="zh-CN"/>
        </w:rPr>
        <w:t>智能制造车间建设项目</w:t>
      </w:r>
    </w:p>
    <w:p>
      <w:pPr>
        <w:keepNext/>
        <w:keepLines/>
        <w:pageBreakBefore w:val="0"/>
        <w:widowControl w:val="0"/>
        <w:kinsoku/>
        <w:wordWrap/>
        <w:overflowPunct/>
        <w:topLinePunct w:val="0"/>
        <w:autoSpaceDE/>
        <w:autoSpaceDN/>
        <w:bidi w:val="0"/>
        <w:adjustRightInd/>
        <w:snapToGrid w:val="0"/>
        <w:spacing w:before="150" w:after="100" w:afterAutospacing="1" w:line="560" w:lineRule="exact"/>
        <w:jc w:val="center"/>
        <w:textAlignment w:val="auto"/>
        <w:outlineLvl w:val="0"/>
        <w:rPr>
          <w:rFonts w:ascii="方正小标宋简体" w:eastAsia="方正小标宋简体"/>
          <w:sz w:val="44"/>
          <w:szCs w:val="44"/>
          <w:highlight w:val="none"/>
          <w:shd w:val="clear" w:color="auto" w:fill="FFFFFF" w:themeFill="background1"/>
        </w:rPr>
      </w:pPr>
      <w:bookmarkStart w:id="13" w:name="_Toc14489"/>
      <w:r>
        <w:rPr>
          <w:rFonts w:hint="eastAsia" w:ascii="方正小标宋简体" w:eastAsia="方正小标宋简体"/>
          <w:sz w:val="44"/>
          <w:szCs w:val="44"/>
          <w:highlight w:val="none"/>
          <w:shd w:val="clear" w:color="auto" w:fill="FFFFFF" w:themeFill="background1"/>
        </w:rPr>
        <w:t>绩效评价报告正文</w:t>
      </w:r>
      <w:bookmarkEnd w:id="6"/>
      <w:bookmarkEnd w:id="13"/>
    </w:p>
    <w:p>
      <w:pPr>
        <w:widowControl/>
        <w:spacing w:before="150" w:after="100" w:afterAutospacing="1" w:line="600" w:lineRule="exact"/>
        <w:jc w:val="center"/>
        <w:rPr>
          <w:rFonts w:ascii="方正小标宋简体" w:eastAsia="方正小标宋简体"/>
          <w:sz w:val="44"/>
          <w:szCs w:val="44"/>
          <w:highlight w:val="none"/>
          <w:shd w:val="clear" w:color="auto" w:fill="FFFFFF" w:themeFill="background1"/>
        </w:rPr>
      </w:pP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rPr>
          <w:rFonts w:hAnsi="仿宋" w:cs="宋体"/>
          <w:color w:val="000000"/>
          <w:kern w:val="2"/>
          <w:szCs w:val="30"/>
          <w:highlight w:val="none"/>
        </w:rPr>
      </w:pPr>
      <w:r>
        <w:rPr>
          <w:rFonts w:hint="eastAsia" w:hAnsi="仿宋" w:cs="宋体"/>
          <w:color w:val="000000"/>
          <w:kern w:val="2"/>
          <w:szCs w:val="30"/>
        </w:rPr>
        <w:t>为加强财政资金管理，提高财政资金使用效益，根据《</w:t>
      </w:r>
      <w:r>
        <w:rPr>
          <w:rFonts w:hint="eastAsia" w:hAnsi="仿宋" w:cs="宋体"/>
          <w:color w:val="000000"/>
          <w:kern w:val="2"/>
          <w:szCs w:val="30"/>
          <w:lang w:eastAsia="zh-CN"/>
        </w:rPr>
        <w:t>重庆市梁平区财政局</w:t>
      </w:r>
      <w:r>
        <w:rPr>
          <w:rFonts w:hint="eastAsia" w:hAnsi="仿宋" w:cs="宋体"/>
          <w:color w:val="000000"/>
          <w:kern w:val="2"/>
          <w:szCs w:val="30"/>
        </w:rPr>
        <w:t>关于开展</w:t>
      </w:r>
      <w:r>
        <w:rPr>
          <w:rFonts w:hint="eastAsia" w:hAnsi="仿宋" w:cs="宋体"/>
          <w:color w:val="000000"/>
          <w:kern w:val="2"/>
          <w:szCs w:val="30"/>
          <w:lang w:val="en-US" w:eastAsia="zh-CN"/>
        </w:rPr>
        <w:t>2022年绩效目标重点评价和事前绩效评估</w:t>
      </w:r>
      <w:r>
        <w:rPr>
          <w:rFonts w:hint="eastAsia" w:hAnsi="仿宋" w:cs="宋体"/>
          <w:color w:val="000000"/>
          <w:kern w:val="2"/>
          <w:szCs w:val="30"/>
        </w:rPr>
        <w:t>工作的通知》（</w:t>
      </w:r>
      <w:r>
        <w:rPr>
          <w:rFonts w:hint="eastAsia" w:hAnsi="仿宋" w:cs="宋体"/>
          <w:color w:val="000000"/>
          <w:kern w:val="2"/>
          <w:szCs w:val="30"/>
          <w:lang w:eastAsia="zh-CN"/>
        </w:rPr>
        <w:t>梁平</w:t>
      </w:r>
      <w:r>
        <w:rPr>
          <w:rFonts w:hint="eastAsia" w:hAnsi="仿宋" w:cs="宋体"/>
          <w:color w:val="000000"/>
          <w:kern w:val="2"/>
          <w:szCs w:val="30"/>
        </w:rPr>
        <w:t>财发〔202</w:t>
      </w:r>
      <w:r>
        <w:rPr>
          <w:rFonts w:hint="eastAsia" w:hAnsi="仿宋" w:cs="宋体"/>
          <w:color w:val="000000"/>
          <w:kern w:val="2"/>
          <w:szCs w:val="30"/>
          <w:lang w:val="en-US" w:eastAsia="zh-CN"/>
        </w:rPr>
        <w:t>2</w:t>
      </w:r>
      <w:r>
        <w:rPr>
          <w:rFonts w:hint="eastAsia" w:hAnsi="仿宋" w:cs="宋体"/>
          <w:color w:val="000000"/>
          <w:kern w:val="2"/>
          <w:szCs w:val="30"/>
        </w:rPr>
        <w:t>〕</w:t>
      </w:r>
      <w:r>
        <w:rPr>
          <w:rFonts w:hint="eastAsia" w:hAnsi="仿宋" w:cs="宋体"/>
          <w:color w:val="000000"/>
          <w:kern w:val="2"/>
          <w:szCs w:val="30"/>
          <w:lang w:val="en-US" w:eastAsia="zh-CN"/>
        </w:rPr>
        <w:t>291</w:t>
      </w:r>
      <w:r>
        <w:rPr>
          <w:rFonts w:hint="eastAsia" w:hAnsi="仿宋" w:cs="宋体"/>
          <w:color w:val="000000"/>
          <w:kern w:val="2"/>
          <w:szCs w:val="30"/>
        </w:rPr>
        <w:t>号）文件的要求，</w:t>
      </w:r>
      <w:r>
        <w:rPr>
          <w:rFonts w:hint="eastAsia" w:hAnsi="仿宋" w:cs="宋体"/>
          <w:color w:val="000000"/>
          <w:kern w:val="2"/>
          <w:szCs w:val="30"/>
          <w:highlight w:val="none"/>
        </w:rPr>
        <w:t>梁平区财政局委托</w:t>
      </w:r>
      <w:r>
        <w:rPr>
          <w:rFonts w:hint="eastAsia" w:hAnsi="仿宋" w:cs="宋体"/>
          <w:color w:val="000000"/>
          <w:kern w:val="2"/>
          <w:szCs w:val="30"/>
          <w:highlight w:val="none"/>
          <w:lang w:eastAsia="zh-CN"/>
        </w:rPr>
        <w:t>云南云岭工程造价咨询有限公司</w:t>
      </w:r>
      <w:r>
        <w:rPr>
          <w:rFonts w:hint="eastAsia" w:hAnsi="仿宋" w:cs="宋体"/>
          <w:color w:val="000000"/>
          <w:kern w:val="2"/>
          <w:szCs w:val="30"/>
          <w:highlight w:val="none"/>
        </w:rPr>
        <w:t>对</w:t>
      </w:r>
      <w:r>
        <w:rPr>
          <w:rFonts w:hint="eastAsia" w:hAnsi="仿宋" w:cs="宋体"/>
          <w:color w:val="000000"/>
          <w:kern w:val="2"/>
          <w:szCs w:val="30"/>
          <w:highlight w:val="none"/>
          <w:lang w:eastAsia="zh-CN"/>
        </w:rPr>
        <w:t>重庆市梁平区自主可控功率半导体离散型智能制造车间建设项目</w:t>
      </w:r>
      <w:r>
        <w:rPr>
          <w:rFonts w:hint="eastAsia" w:hAnsi="仿宋" w:cs="宋体"/>
          <w:color w:val="000000"/>
          <w:kern w:val="2"/>
          <w:szCs w:val="30"/>
          <w:highlight w:val="none"/>
        </w:rPr>
        <w:t>进行了绩效评价。现将评价情况报告如下：</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0"/>
        <w:rPr>
          <w:rFonts w:ascii="黑体" w:hAnsi="宋体" w:eastAsia="黑体" w:cs="宋体"/>
          <w:szCs w:val="30"/>
          <w:highlight w:val="none"/>
          <w:shd w:val="clear" w:color="auto" w:fill="FFFFFF" w:themeFill="background1"/>
        </w:rPr>
      </w:pPr>
      <w:bookmarkStart w:id="14" w:name="_Toc16275"/>
      <w:bookmarkStart w:id="15" w:name="_Toc42518786"/>
      <w:bookmarkStart w:id="16" w:name="_Toc42518785"/>
      <w:r>
        <w:rPr>
          <w:rFonts w:hint="eastAsia" w:ascii="黑体" w:hAnsi="宋体" w:eastAsia="黑体" w:cs="宋体"/>
          <w:szCs w:val="30"/>
          <w:highlight w:val="none"/>
          <w:shd w:val="clear" w:color="auto" w:fill="FFFFFF" w:themeFill="background1"/>
        </w:rPr>
        <w:t>一、项目基本情况</w:t>
      </w:r>
      <w:bookmarkEnd w:id="14"/>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17" w:name="_Toc17170"/>
      <w:r>
        <w:rPr>
          <w:rFonts w:hint="eastAsia" w:ascii="楷体" w:hAnsi="楷体" w:eastAsia="楷体"/>
          <w:szCs w:val="30"/>
          <w:highlight w:val="none"/>
          <w:shd w:val="clear" w:color="auto" w:fill="FFFFFF" w:themeFill="background1"/>
        </w:rPr>
        <w:t>（一）项目名称</w:t>
      </w:r>
      <w:bookmarkEnd w:id="15"/>
      <w:bookmarkEnd w:id="17"/>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rPr>
      </w:pPr>
      <w:r>
        <w:rPr>
          <w:rFonts w:hint="eastAsia" w:hAnsi="仿宋" w:cs="Times New Roman"/>
          <w:szCs w:val="30"/>
          <w:highlight w:val="none"/>
        </w:rPr>
        <w:t>项目名称：</w:t>
      </w:r>
      <w:r>
        <w:rPr>
          <w:rFonts w:hint="eastAsia" w:hAnsi="仿宋" w:cs="Times New Roman"/>
          <w:szCs w:val="30"/>
          <w:highlight w:val="none"/>
          <w:lang w:eastAsia="zh-CN"/>
        </w:rPr>
        <w:t>重庆市梁平区自主可控功率半导体离散型智能制造车间建设项目</w:t>
      </w:r>
      <w:r>
        <w:rPr>
          <w:rFonts w:hint="eastAsia" w:hAnsi="仿宋" w:cs="Times New Roman"/>
          <w:szCs w:val="30"/>
          <w:highlight w:val="none"/>
        </w:rPr>
        <w:t>（以下简称“</w:t>
      </w:r>
      <w:r>
        <w:rPr>
          <w:rFonts w:hint="eastAsia" w:hAnsi="仿宋" w:cs="Times New Roman"/>
          <w:szCs w:val="30"/>
          <w:highlight w:val="none"/>
          <w:lang w:eastAsia="zh-CN"/>
        </w:rPr>
        <w:t>自主可控功率半导体离散型智能制造车间建设项目</w:t>
      </w:r>
      <w:r>
        <w:rPr>
          <w:rFonts w:hint="eastAsia" w:hAnsi="仿宋" w:cs="Times New Roman"/>
          <w:szCs w:val="30"/>
          <w:highlight w:val="none"/>
        </w:rPr>
        <w:t>”）。</w:t>
      </w:r>
    </w:p>
    <w:bookmarkEnd w:id="16"/>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outlineLvl w:val="1"/>
        <w:rPr>
          <w:rFonts w:hint="default" w:ascii="楷体" w:hAnsi="楷体" w:eastAsia="楷体"/>
          <w:szCs w:val="30"/>
          <w:highlight w:val="none"/>
          <w:shd w:val="clear" w:color="auto" w:fill="FFFFFF" w:themeFill="background1"/>
          <w:lang w:val="en-US" w:eastAsia="zh-CN"/>
        </w:rPr>
      </w:pPr>
      <w:bookmarkStart w:id="18" w:name="_Toc42518788"/>
      <w:bookmarkStart w:id="19" w:name="_Toc24064"/>
      <w:bookmarkStart w:id="20" w:name="_Toc42518787"/>
      <w:r>
        <w:rPr>
          <w:rFonts w:hint="eastAsia" w:ascii="楷体" w:hAnsi="楷体" w:eastAsia="楷体"/>
          <w:szCs w:val="30"/>
          <w:highlight w:val="none"/>
          <w:shd w:val="clear" w:color="auto" w:fill="FFFFFF" w:themeFill="background1"/>
        </w:rPr>
        <w:t>（二）项目主管</w:t>
      </w:r>
      <w:bookmarkEnd w:id="18"/>
      <w:r>
        <w:rPr>
          <w:rFonts w:hint="eastAsia" w:ascii="楷体" w:hAnsi="楷体" w:eastAsia="楷体"/>
          <w:szCs w:val="30"/>
          <w:highlight w:val="none"/>
          <w:shd w:val="clear" w:color="auto" w:fill="FFFFFF" w:themeFill="background1"/>
        </w:rPr>
        <w:t>部门</w:t>
      </w:r>
      <w:r>
        <w:rPr>
          <w:rFonts w:hint="eastAsia" w:ascii="楷体" w:hAnsi="楷体" w:eastAsia="楷体"/>
          <w:szCs w:val="30"/>
          <w:highlight w:val="none"/>
          <w:shd w:val="clear" w:color="auto" w:fill="FFFFFF" w:themeFill="background1"/>
          <w:lang w:val="en-US" w:eastAsia="zh-CN"/>
        </w:rPr>
        <w:t>和项目实施单位</w:t>
      </w:r>
      <w:bookmarkEnd w:id="19"/>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rPr>
      </w:pPr>
      <w:r>
        <w:rPr>
          <w:rFonts w:hint="eastAsia" w:hAnsi="仿宋" w:cs="Times New Roman"/>
          <w:szCs w:val="30"/>
          <w:highlight w:val="none"/>
        </w:rPr>
        <w:t>项目主管部门：重庆市梁平区</w:t>
      </w:r>
      <w:r>
        <w:rPr>
          <w:rFonts w:hint="eastAsia" w:hAnsi="仿宋" w:cs="Times New Roman"/>
          <w:szCs w:val="30"/>
          <w:highlight w:val="none"/>
          <w:lang w:val="en-US" w:eastAsia="zh-CN"/>
        </w:rPr>
        <w:t>经济和信息化委员会</w:t>
      </w:r>
      <w:r>
        <w:rPr>
          <w:rFonts w:hint="eastAsia" w:hAnsi="仿宋" w:cs="Times New Roman"/>
          <w:szCs w:val="30"/>
          <w:highlight w:val="none"/>
        </w:rPr>
        <w:t>（以下简称“区</w:t>
      </w:r>
      <w:r>
        <w:rPr>
          <w:rFonts w:hint="eastAsia" w:hAnsi="仿宋" w:cs="Times New Roman"/>
          <w:szCs w:val="30"/>
          <w:highlight w:val="none"/>
          <w:lang w:val="en-US" w:eastAsia="zh-CN"/>
        </w:rPr>
        <w:t>经信委</w:t>
      </w:r>
      <w:r>
        <w:rPr>
          <w:rFonts w:hint="eastAsia" w:hAnsi="仿宋" w:cs="Times New Roman"/>
          <w:szCs w:val="30"/>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项目实施单位：本项目实施单位为联合体形式，其中</w:t>
      </w:r>
      <w:r>
        <w:rPr>
          <w:rFonts w:hint="eastAsia" w:hAnsi="仿宋" w:cs="Times New Roman"/>
          <w:szCs w:val="30"/>
          <w:highlight w:val="none"/>
        </w:rPr>
        <w:t>项目</w:t>
      </w:r>
      <w:r>
        <w:rPr>
          <w:rFonts w:hint="eastAsia" w:hAnsi="仿宋" w:cs="Times New Roman"/>
          <w:szCs w:val="30"/>
          <w:highlight w:val="none"/>
          <w:lang w:val="en-US" w:eastAsia="zh-CN"/>
        </w:rPr>
        <w:t>责任单</w:t>
      </w:r>
      <w:r>
        <w:rPr>
          <w:rFonts w:hint="eastAsia" w:hAnsi="仿宋" w:cs="Times New Roman"/>
          <w:szCs w:val="30"/>
          <w:highlight w:val="none"/>
        </w:rPr>
        <w:t>位</w:t>
      </w:r>
      <w:r>
        <w:rPr>
          <w:rFonts w:hint="eastAsia" w:hAnsi="仿宋" w:cs="Times New Roman"/>
          <w:szCs w:val="30"/>
          <w:highlight w:val="none"/>
          <w:lang w:val="en-US" w:eastAsia="zh-CN"/>
        </w:rPr>
        <w:t>为重庆平伟实业股份有限公司</w:t>
      </w:r>
      <w:r>
        <w:rPr>
          <w:rFonts w:hint="eastAsia" w:hAnsi="仿宋" w:cs="Times New Roman"/>
          <w:szCs w:val="30"/>
          <w:highlight w:val="none"/>
        </w:rPr>
        <w:t>（以下简称“</w:t>
      </w:r>
      <w:r>
        <w:rPr>
          <w:rFonts w:hint="eastAsia" w:hAnsi="仿宋" w:cs="Times New Roman"/>
          <w:szCs w:val="30"/>
          <w:highlight w:val="none"/>
          <w:lang w:val="en-US" w:eastAsia="zh-CN"/>
        </w:rPr>
        <w:t>平伟</w:t>
      </w:r>
      <w:r>
        <w:rPr>
          <w:rFonts w:hint="eastAsia" w:hAnsi="仿宋" w:cs="Times New Roman"/>
          <w:szCs w:val="30"/>
          <w:highlight w:val="none"/>
        </w:rPr>
        <w:t>公司”）</w:t>
      </w:r>
      <w:bookmarkStart w:id="21" w:name="_Toc11613"/>
      <w:bookmarkStart w:id="22" w:name="_Toc42518789"/>
      <w:r>
        <w:rPr>
          <w:rFonts w:hint="eastAsia" w:hAnsi="仿宋" w:cs="Times New Roman"/>
          <w:szCs w:val="30"/>
          <w:highlight w:val="none"/>
          <w:lang w:eastAsia="zh-CN"/>
        </w:rPr>
        <w:t>，</w:t>
      </w:r>
      <w:r>
        <w:rPr>
          <w:rFonts w:hint="eastAsia" w:hAnsi="仿宋" w:cs="Times New Roman"/>
          <w:szCs w:val="30"/>
          <w:highlight w:val="none"/>
          <w:lang w:val="en-US" w:eastAsia="zh-CN"/>
        </w:rPr>
        <w:t>项目联合单位包括重庆赛宝工业技术研究院、工业和信息化部电子第五研究所、大连佳峰自动化股份有限公司、重庆大学。</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outlineLvl w:val="1"/>
        <w:rPr>
          <w:rFonts w:ascii="楷体" w:hAnsi="楷体" w:eastAsia="楷体"/>
          <w:szCs w:val="30"/>
          <w:highlight w:val="none"/>
          <w:shd w:val="clear" w:color="auto" w:fill="FFFFFF" w:themeFill="background1"/>
        </w:rPr>
      </w:pPr>
      <w:bookmarkStart w:id="23" w:name="_Toc4323"/>
      <w:r>
        <w:rPr>
          <w:rFonts w:hint="eastAsia" w:ascii="楷体" w:hAnsi="楷体" w:eastAsia="楷体"/>
          <w:szCs w:val="30"/>
          <w:highlight w:val="none"/>
          <w:shd w:val="clear" w:color="auto" w:fill="FFFFFF" w:themeFill="background1"/>
        </w:rPr>
        <w:t>（三）项目主要建设内容</w:t>
      </w:r>
      <w:bookmarkEnd w:id="21"/>
      <w:bookmarkEnd w:id="23"/>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eastAsia="zh-CN"/>
        </w:rPr>
        <w:t>自主可控功率半导体离散型智能制造车间建设项目</w:t>
      </w:r>
      <w:r>
        <w:rPr>
          <w:rFonts w:hint="eastAsia" w:hAnsi="仿宋" w:cs="Times New Roman"/>
          <w:szCs w:val="30"/>
          <w:highlight w:val="none"/>
          <w:lang w:val="en-US" w:eastAsia="zh-CN"/>
        </w:rPr>
        <w:t>主要建设内容为结合功率半导体行业工艺、制造特点，规划设计一套自主可控功率半导体离散型智能制造车间模型，攻克自主可控功率半导体核心工艺智能化技术，新增、升级和集成应用核心智能装备、智能装备物联感知平台、产品数据管理系统、智能制造执行系统、企业资源计划管理系统、全生命周期质量管理等软硬件系统，打造自主可控功率半导体离散型智能制造车间，提升企业核心竞争能力，取得显著的应用效益，并开展新模式的应用示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30" w:firstLineChars="200"/>
        <w:jc w:val="both"/>
        <w:textAlignment w:val="auto"/>
        <w:outlineLvl w:val="1"/>
        <w:rPr>
          <w:rFonts w:hint="eastAsia" w:ascii="楷体" w:hAnsi="楷体" w:eastAsia="楷体"/>
          <w:szCs w:val="30"/>
          <w:highlight w:val="none"/>
          <w:shd w:val="clear" w:color="auto" w:fill="FFFFFF" w:themeFill="background1"/>
          <w:lang w:val="en-US" w:eastAsia="zh-CN"/>
        </w:rPr>
      </w:pPr>
      <w:bookmarkStart w:id="24" w:name="_Toc20840"/>
      <w:r>
        <w:rPr>
          <w:rFonts w:hint="eastAsia" w:ascii="楷体" w:hAnsi="楷体" w:eastAsia="楷体"/>
          <w:szCs w:val="30"/>
          <w:highlight w:val="none"/>
          <w:shd w:val="clear" w:color="auto" w:fill="FFFFFF" w:themeFill="background1"/>
        </w:rPr>
        <w:t>（</w:t>
      </w:r>
      <w:r>
        <w:rPr>
          <w:rFonts w:hint="eastAsia" w:ascii="楷体" w:hAnsi="楷体" w:eastAsia="楷体"/>
          <w:szCs w:val="30"/>
          <w:highlight w:val="none"/>
          <w:shd w:val="clear" w:color="auto" w:fill="FFFFFF" w:themeFill="background1"/>
          <w:lang w:val="en-US" w:eastAsia="zh-CN"/>
        </w:rPr>
        <w:t>四</w:t>
      </w:r>
      <w:r>
        <w:rPr>
          <w:rFonts w:hint="eastAsia" w:ascii="楷体" w:hAnsi="楷体" w:eastAsia="楷体"/>
          <w:szCs w:val="30"/>
          <w:highlight w:val="none"/>
          <w:shd w:val="clear" w:color="auto" w:fill="FFFFFF" w:themeFill="background1"/>
        </w:rPr>
        <w:t>）</w:t>
      </w:r>
      <w:r>
        <w:rPr>
          <w:rFonts w:hint="eastAsia" w:ascii="楷体" w:hAnsi="楷体" w:eastAsia="楷体"/>
          <w:szCs w:val="30"/>
          <w:highlight w:val="none"/>
          <w:shd w:val="clear" w:color="auto" w:fill="FFFFFF" w:themeFill="background1"/>
          <w:lang w:val="en-US" w:eastAsia="zh-CN"/>
        </w:rPr>
        <w:t>项目建设周期</w:t>
      </w:r>
      <w:bookmarkEnd w:id="24"/>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eastAsia="zh-CN"/>
        </w:rPr>
      </w:pPr>
      <w:r>
        <w:rPr>
          <w:rFonts w:hint="eastAsia" w:hAnsi="仿宋" w:cs="Times New Roman"/>
          <w:szCs w:val="30"/>
          <w:highlight w:val="none"/>
          <w:lang w:val="en-US" w:eastAsia="zh-CN"/>
        </w:rPr>
        <w:t>自主可控功率半导体离散型智能制造车间建设项目建设周期为2017年6月至2019年12月。</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outlineLvl w:val="1"/>
        <w:rPr>
          <w:rFonts w:ascii="楷体" w:hAnsi="楷体" w:eastAsia="楷体"/>
          <w:szCs w:val="30"/>
          <w:highlight w:val="none"/>
          <w:shd w:val="clear" w:color="auto" w:fill="FFFFFF" w:themeFill="background1"/>
        </w:rPr>
      </w:pPr>
      <w:bookmarkStart w:id="25" w:name="_Toc6077"/>
      <w:r>
        <w:rPr>
          <w:rFonts w:hint="eastAsia" w:ascii="楷体" w:hAnsi="楷体" w:eastAsia="楷体"/>
          <w:szCs w:val="30"/>
          <w:highlight w:val="none"/>
          <w:shd w:val="clear" w:color="auto" w:fill="FFFFFF" w:themeFill="background1"/>
          <w:lang w:eastAsia="zh-CN"/>
        </w:rPr>
        <w:t>（</w:t>
      </w:r>
      <w:r>
        <w:rPr>
          <w:rFonts w:hint="eastAsia" w:ascii="楷体" w:hAnsi="楷体" w:eastAsia="楷体"/>
          <w:szCs w:val="30"/>
          <w:highlight w:val="none"/>
          <w:shd w:val="clear" w:color="auto" w:fill="FFFFFF" w:themeFill="background1"/>
          <w:lang w:val="en-US" w:eastAsia="zh-CN"/>
        </w:rPr>
        <w:t>五</w:t>
      </w:r>
      <w:r>
        <w:rPr>
          <w:rFonts w:hint="eastAsia" w:ascii="楷体" w:hAnsi="楷体" w:eastAsia="楷体"/>
          <w:szCs w:val="30"/>
          <w:highlight w:val="none"/>
          <w:shd w:val="clear" w:color="auto" w:fill="FFFFFF" w:themeFill="background1"/>
          <w:lang w:eastAsia="zh-CN"/>
        </w:rPr>
        <w:t>）</w:t>
      </w:r>
      <w:r>
        <w:rPr>
          <w:rFonts w:hint="eastAsia" w:ascii="楷体" w:hAnsi="楷体" w:eastAsia="楷体"/>
          <w:szCs w:val="30"/>
          <w:highlight w:val="none"/>
          <w:shd w:val="clear" w:color="auto" w:fill="FFFFFF" w:themeFill="background1"/>
        </w:rPr>
        <w:t>项目总</w:t>
      </w:r>
      <w:r>
        <w:rPr>
          <w:rFonts w:hint="eastAsia" w:ascii="楷体" w:hAnsi="楷体" w:eastAsia="楷体"/>
          <w:szCs w:val="30"/>
          <w:highlight w:val="none"/>
          <w:shd w:val="clear" w:color="auto" w:fill="FFFFFF" w:themeFill="background1"/>
          <w:lang w:val="en-US" w:eastAsia="zh-CN"/>
        </w:rPr>
        <w:t>体</w:t>
      </w:r>
      <w:r>
        <w:rPr>
          <w:rFonts w:hint="eastAsia" w:ascii="楷体" w:hAnsi="楷体" w:eastAsia="楷体"/>
          <w:szCs w:val="30"/>
          <w:highlight w:val="none"/>
          <w:shd w:val="clear" w:color="auto" w:fill="FFFFFF" w:themeFill="background1"/>
        </w:rPr>
        <w:t>投资</w:t>
      </w:r>
      <w:r>
        <w:rPr>
          <w:rFonts w:hint="eastAsia" w:ascii="楷体" w:hAnsi="楷体" w:eastAsia="楷体"/>
          <w:szCs w:val="30"/>
          <w:highlight w:val="none"/>
          <w:shd w:val="clear" w:color="auto" w:fill="FFFFFF" w:themeFill="background1"/>
          <w:lang w:val="en-US" w:eastAsia="zh-CN"/>
        </w:rPr>
        <w:t>情况</w:t>
      </w:r>
      <w:bookmarkEnd w:id="25"/>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ascii="仿宋" w:hAnsi="仿宋" w:eastAsia="仿宋" w:cs="宋体"/>
          <w:color w:val="000000"/>
          <w:kern w:val="2"/>
          <w:sz w:val="30"/>
          <w:szCs w:val="30"/>
          <w:highlight w:val="none"/>
          <w:lang w:val="en-US" w:eastAsia="zh-CN" w:bidi="ar-SA"/>
        </w:rPr>
      </w:pPr>
      <w:r>
        <w:rPr>
          <w:rFonts w:hint="eastAsia" w:hAnsi="仿宋" w:cs="Times New Roman"/>
          <w:szCs w:val="30"/>
          <w:highlight w:val="none"/>
          <w:lang w:val="en-US" w:eastAsia="zh-CN"/>
        </w:rPr>
        <w:t>自主可控功率半导体离散型智能制造车间建设项目预算总投资21,215.19万元，其中平伟公司自筹19,215.19万元，中央专项经费2,000.00万元（“渝财产业〔2017〕204号”下达中央专项补助资金1,000.00万元，“渝财产业〔2020〕225号”下达中央专项补助资金1,000.00万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outlineLvl w:val="1"/>
        <w:rPr>
          <w:rFonts w:ascii="楷体" w:hAnsi="楷体" w:eastAsia="楷体"/>
          <w:szCs w:val="30"/>
          <w:highlight w:val="none"/>
          <w:shd w:val="clear" w:color="auto" w:fill="FFFFFF" w:themeFill="background1"/>
        </w:rPr>
      </w:pPr>
      <w:bookmarkStart w:id="26" w:name="_Toc12989"/>
      <w:r>
        <w:rPr>
          <w:rFonts w:hint="eastAsia" w:ascii="楷体" w:hAnsi="楷体" w:eastAsia="楷体"/>
          <w:szCs w:val="30"/>
          <w:highlight w:val="none"/>
          <w:shd w:val="clear" w:color="auto" w:fill="FFFFFF" w:themeFill="background1"/>
        </w:rPr>
        <w:t>（</w:t>
      </w:r>
      <w:r>
        <w:rPr>
          <w:rFonts w:hint="eastAsia" w:ascii="楷体" w:hAnsi="楷体" w:eastAsia="楷体"/>
          <w:szCs w:val="30"/>
          <w:highlight w:val="none"/>
          <w:shd w:val="clear" w:color="auto" w:fill="FFFFFF" w:themeFill="background1"/>
          <w:lang w:val="en-US" w:eastAsia="zh-CN"/>
        </w:rPr>
        <w:t>六</w:t>
      </w:r>
      <w:r>
        <w:rPr>
          <w:rFonts w:hint="eastAsia" w:ascii="楷体" w:hAnsi="楷体" w:eastAsia="楷体"/>
          <w:szCs w:val="30"/>
          <w:highlight w:val="none"/>
          <w:shd w:val="clear" w:color="auto" w:fill="FFFFFF" w:themeFill="background1"/>
        </w:rPr>
        <w:t>）</w:t>
      </w:r>
      <w:bookmarkEnd w:id="22"/>
      <w:bookmarkStart w:id="27" w:name="_Toc2170"/>
      <w:r>
        <w:rPr>
          <w:rFonts w:hint="eastAsia" w:ascii="楷体" w:hAnsi="楷体" w:eastAsia="楷体"/>
          <w:szCs w:val="30"/>
          <w:highlight w:val="none"/>
          <w:shd w:val="clear" w:color="auto" w:fill="FFFFFF" w:themeFill="background1"/>
        </w:rPr>
        <w:t>绩效评价范围</w:t>
      </w:r>
      <w:bookmarkEnd w:id="26"/>
      <w:bookmarkEnd w:id="27"/>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本次绩效评价范围为《重庆市财政局关于提前下达2021年制造业高质量发展中央专项资金预算的通知》（渝财产业〔2020〕225号）下达的2021年中央专项资金补助1,000.00万元。</w:t>
      </w:r>
    </w:p>
    <w:bookmarkEnd w:id="20"/>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outlineLvl w:val="0"/>
        <w:rPr>
          <w:rFonts w:ascii="黑体" w:hAnsi="宋体" w:eastAsia="黑体" w:cs="宋体"/>
          <w:szCs w:val="30"/>
          <w:highlight w:val="none"/>
          <w:shd w:val="clear" w:color="auto" w:fill="FFFFFF" w:themeFill="background1"/>
        </w:rPr>
      </w:pPr>
      <w:bookmarkStart w:id="28" w:name="_Toc42518790"/>
      <w:bookmarkStart w:id="29" w:name="_Toc18097"/>
      <w:r>
        <w:rPr>
          <w:rFonts w:hint="eastAsia" w:ascii="黑体" w:hAnsi="宋体" w:eastAsia="黑体" w:cs="宋体"/>
          <w:szCs w:val="30"/>
          <w:highlight w:val="none"/>
          <w:shd w:val="clear" w:color="auto" w:fill="FFFFFF" w:themeFill="background1"/>
        </w:rPr>
        <w:t>二、绩效评价工作情况</w:t>
      </w:r>
      <w:bookmarkEnd w:id="28"/>
      <w:bookmarkEnd w:id="29"/>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outlineLvl w:val="1"/>
        <w:rPr>
          <w:rFonts w:ascii="楷体" w:hAnsi="楷体" w:eastAsia="楷体"/>
          <w:szCs w:val="30"/>
          <w:highlight w:val="none"/>
          <w:shd w:val="clear" w:color="auto" w:fill="FFFFFF" w:themeFill="background1"/>
        </w:rPr>
      </w:pPr>
      <w:bookmarkStart w:id="30" w:name="_Toc3884"/>
      <w:bookmarkStart w:id="31" w:name="_Toc42518791"/>
      <w:r>
        <w:rPr>
          <w:rFonts w:hint="eastAsia" w:ascii="楷体" w:hAnsi="楷体" w:eastAsia="楷体"/>
          <w:szCs w:val="30"/>
          <w:highlight w:val="none"/>
          <w:shd w:val="clear" w:color="auto" w:fill="FFFFFF" w:themeFill="background1"/>
        </w:rPr>
        <w:t>（一）绩效评价目的</w:t>
      </w:r>
      <w:bookmarkEnd w:id="30"/>
      <w:bookmarkEnd w:id="31"/>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次绩效评价的目的是：通过绩效评价，全面具体了解自主可控功率半导体离散型智能制造车间建设项目资金使用情况和使用成效，总结经验，查找问题和不足，为进一步完善管理制度、改善管理措施、提高财政资金使用效益提供借鉴和参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outlineLvl w:val="1"/>
        <w:rPr>
          <w:rFonts w:hint="eastAsia" w:ascii="楷体" w:hAnsi="楷体" w:eastAsia="楷体"/>
          <w:szCs w:val="30"/>
          <w:highlight w:val="none"/>
          <w:shd w:val="clear" w:color="auto" w:fill="FFFFFF" w:themeFill="background1"/>
          <w:lang w:val="en-US" w:eastAsia="zh-CN"/>
        </w:rPr>
      </w:pPr>
      <w:bookmarkStart w:id="32" w:name="_Toc42518792"/>
      <w:r>
        <w:rPr>
          <w:rFonts w:hint="eastAsia" w:ascii="楷体" w:hAnsi="楷体" w:eastAsia="楷体"/>
          <w:szCs w:val="30"/>
          <w:highlight w:val="none"/>
          <w:shd w:val="clear" w:color="auto" w:fill="FFFFFF" w:themeFill="background1"/>
          <w:lang w:val="en-US" w:eastAsia="zh-CN"/>
        </w:rPr>
        <w:t>（二）绩效评价主要依据</w:t>
      </w:r>
      <w:bookmarkEnd w:id="32"/>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1.《国务院关于印发〈中国制造2025〉的通知》（国发〔2015〕28号）；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2.《工业和信息化部办公厅关于组织实施2017年智能制造综合标准化与新模式应用项目的通知》（工信厅装函〔2017〕468号）；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3.《智能制造综合标准化与新模式应用项目管理工作细则》（工信厅装〔2018〕21号）；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4.《重庆市经济和信息化委员会关于印发重庆市数字化车间和智能工厂认定管理办法（试行）的通知》（渝经信发〔2018〕22号）；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5.《</w:t>
      </w:r>
      <w:r>
        <w:rPr>
          <w:rFonts w:hint="eastAsia" w:hAnsi="仿宋" w:cs="Times New Roman"/>
          <w:szCs w:val="30"/>
          <w:highlight w:val="none"/>
          <w:lang w:val="zh-CN" w:eastAsia="zh-CN"/>
        </w:rPr>
        <w:t>自主可控功率半导体离散型智能制造车间建设</w:t>
      </w:r>
      <w:r>
        <w:rPr>
          <w:rFonts w:hint="eastAsia" w:hAnsi="仿宋" w:cs="Times New Roman"/>
          <w:szCs w:val="30"/>
          <w:highlight w:val="none"/>
          <w:lang w:val="en-US" w:eastAsia="zh-CN"/>
        </w:rPr>
        <w:t>智能制造专项项目实施方案》；</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6.《重庆平伟实业股份有限公司项目管理制度》；</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7.《工业转型升级（中国制造2025）资金管理办法》；</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8.《重庆平伟实业股份有限公司项目专项资金的管理办法》；</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9.《重庆市经济和信息化委员会关于自主可控功率半导体离散型智能制造车间建设项目调整的批复》（渝经信智能〔2019〕92号）；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10.《关于重庆平伟实业股份有限公司“自主可控功率半导体离散型智能制造车间建设”项目的验收意见》；</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11.《“自主可控功率半导体离散型智能制造车间建设”项目专项审计报告》（展华审〔2019〕725号）；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12.区经信委、平伟公司提供的其他相关资料；</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13.评价小组现场调查中获取的资料。</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33" w:name="_Toc42518793"/>
      <w:bookmarkStart w:id="34" w:name="_Toc20263"/>
      <w:bookmarkStart w:id="35" w:name="_Toc42518794"/>
      <w:r>
        <w:rPr>
          <w:rFonts w:hint="eastAsia" w:ascii="楷体" w:hAnsi="楷体" w:eastAsia="楷体"/>
          <w:szCs w:val="30"/>
          <w:highlight w:val="none"/>
          <w:shd w:val="clear" w:color="auto" w:fill="FFFFFF" w:themeFill="background1"/>
        </w:rPr>
        <w:t>（三）绩效评价原则标准</w:t>
      </w:r>
      <w:bookmarkEnd w:id="33"/>
      <w:bookmarkEnd w:id="34"/>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评价工作秉承科学规范、客观公正、依据充分、成本效益的原则，采取计划标准、行业标准、历史标准相结合的方式开展绩效评价。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1.绩效评价原则</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科学规范原则。评价工作应通过规范的程序，采用定性与定量相结合的评价方法，科学、合理地进行。</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客观公正原则。评价应以相关法律、法规、规章以及财政部门有关文件等为依据，按照“公开、公平、公正”的原则进行。</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依据充分原则。在评价过程中，应收集足够的相关文件及资料，并要通过现场调研，为评价结论提供充分的依据支持。</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成本效益原则。评价工作的重点是评价项目立项的合理性和预算的准确性，在开展评价工作过程中，要注意控制成本、节约经费，提高评价工作的效率和效益。</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2.绩效评价标准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计划标准，指以预先制定的目标、计划、预算、定额等作为评价标准。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行业标准，指参照国家公布的行业指标数据制定的评价标准。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历史标准，指参照历史数据制定的评价标准。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36" w:name="_Toc4003"/>
      <w:r>
        <w:rPr>
          <w:rFonts w:hint="eastAsia" w:ascii="楷体" w:hAnsi="楷体" w:eastAsia="楷体"/>
          <w:szCs w:val="30"/>
          <w:highlight w:val="none"/>
          <w:shd w:val="clear" w:color="auto" w:fill="FFFFFF" w:themeFill="background1"/>
        </w:rPr>
        <w:t>（四）绩效评价组织管理</w:t>
      </w:r>
      <w:bookmarkEnd w:id="36"/>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本次评价工作由梁平区财政局统一组织牵头，委托云南云岭工程造价咨询有限公司进行项目的具体评价实施。</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37" w:name="_Toc9943"/>
      <w:bookmarkStart w:id="38" w:name="_Toc42518795"/>
      <w:r>
        <w:rPr>
          <w:rFonts w:hint="eastAsia" w:ascii="楷体" w:hAnsi="楷体" w:eastAsia="楷体"/>
          <w:szCs w:val="30"/>
          <w:highlight w:val="none"/>
          <w:shd w:val="clear" w:color="auto" w:fill="FFFFFF" w:themeFill="background1"/>
        </w:rPr>
        <w:t>（五）重点评价内容</w:t>
      </w:r>
      <w:bookmarkEnd w:id="37"/>
      <w:bookmarkEnd w:id="38"/>
    </w:p>
    <w:bookmarkEnd w:id="35"/>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次评价以项目2021年度资金安排使用和绩效管理情况为重点，主要评价绩效目标设定及完成情况，项目立项规范性，项目资金投入和使用情况，项目运营管理、资金管理、项目产出、项目效果等内容，从数量、质量、时效、成本、效益等方面衡量项目预算安排资金使用效果。</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39" w:name="_Toc2422"/>
      <w:bookmarkStart w:id="40" w:name="_Toc42518796"/>
      <w:r>
        <w:rPr>
          <w:rFonts w:hint="eastAsia" w:ascii="楷体" w:hAnsi="楷体" w:eastAsia="楷体"/>
          <w:szCs w:val="30"/>
          <w:highlight w:val="none"/>
          <w:shd w:val="clear" w:color="auto" w:fill="FFFFFF" w:themeFill="background1"/>
        </w:rPr>
        <w:t>（六）绩效评价指标体系</w:t>
      </w:r>
      <w:bookmarkEnd w:id="39"/>
      <w:bookmarkEnd w:id="40"/>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rPr>
          <w:rFonts w:hAnsi="仿宋" w:cs="宋体"/>
          <w:color w:val="000000"/>
          <w:kern w:val="2"/>
          <w:szCs w:val="30"/>
          <w:highlight w:val="none"/>
        </w:rPr>
      </w:pPr>
      <w:r>
        <w:rPr>
          <w:rFonts w:hint="eastAsia" w:hAnsi="仿宋" w:cs="宋体"/>
          <w:color w:val="000000"/>
          <w:kern w:val="2"/>
          <w:szCs w:val="30"/>
          <w:highlight w:val="none"/>
        </w:rPr>
        <w:t>根据评价目的和原则，结合</w:t>
      </w:r>
      <w:r>
        <w:rPr>
          <w:rFonts w:hint="eastAsia" w:hAnsi="仿宋" w:cs="宋体"/>
          <w:color w:val="000000"/>
          <w:kern w:val="2"/>
          <w:szCs w:val="30"/>
          <w:highlight w:val="none"/>
          <w:lang w:eastAsia="zh-CN"/>
        </w:rPr>
        <w:t>自主可控功率半导体离散型智能制造车间建设项目</w:t>
      </w:r>
      <w:r>
        <w:rPr>
          <w:rFonts w:hint="eastAsia" w:hAnsi="仿宋" w:cs="宋体"/>
          <w:color w:val="000000"/>
          <w:kern w:val="2"/>
          <w:szCs w:val="30"/>
          <w:highlight w:val="none"/>
        </w:rPr>
        <w:t>特点，在与区级相关部门充分交流、讨论、征求意见的基础上，形成</w:t>
      </w:r>
      <w:r>
        <w:rPr>
          <w:rFonts w:hint="eastAsia" w:hAnsi="仿宋" w:cs="宋体"/>
          <w:color w:val="000000"/>
          <w:kern w:val="2"/>
          <w:szCs w:val="30"/>
          <w:highlight w:val="none"/>
          <w:lang w:eastAsia="zh-CN"/>
        </w:rPr>
        <w:t>自主可控功率半导体离散型智能制造车间建设项目</w:t>
      </w:r>
      <w:r>
        <w:rPr>
          <w:rFonts w:hint="eastAsia" w:hAnsi="仿宋" w:cs="宋体"/>
          <w:color w:val="000000"/>
          <w:kern w:val="2"/>
          <w:szCs w:val="30"/>
          <w:highlight w:val="none"/>
        </w:rPr>
        <w:t>绩效评价指标体系，该指标体系由四级指标构成，其中：一级指标4个、</w:t>
      </w:r>
      <w:r>
        <w:rPr>
          <w:rFonts w:hint="eastAsia"/>
          <w:highlight w:val="none"/>
          <w:shd w:val="clear" w:color="auto" w:fill="FFFFFF" w:themeFill="background1"/>
        </w:rPr>
        <w:t>二级指标10个、三级指标20个、四级指标（细项指标）4</w:t>
      </w:r>
      <w:r>
        <w:rPr>
          <w:rFonts w:hint="eastAsia"/>
          <w:highlight w:val="none"/>
          <w:shd w:val="clear" w:color="auto" w:fill="FFFFFF" w:themeFill="background1"/>
          <w:lang w:val="en-US" w:eastAsia="zh-CN"/>
        </w:rPr>
        <w:t>6</w:t>
      </w:r>
      <w:r>
        <w:rPr>
          <w:rFonts w:hint="eastAsia"/>
          <w:highlight w:val="none"/>
          <w:shd w:val="clear" w:color="auto" w:fill="FFFFFF" w:themeFill="background1"/>
        </w:rPr>
        <w:t>个。</w:t>
      </w:r>
      <w:r>
        <w:rPr>
          <w:rFonts w:hint="eastAsia" w:hAnsi="仿宋" w:cs="宋体"/>
          <w:color w:val="000000"/>
          <w:kern w:val="2"/>
          <w:szCs w:val="30"/>
          <w:highlight w:val="none"/>
        </w:rPr>
        <w:t>一级指标及分值构成如下：</w:t>
      </w:r>
    </w:p>
    <w:tbl>
      <w:tblPr>
        <w:tblStyle w:val="25"/>
        <w:tblW w:w="8703" w:type="dxa"/>
        <w:jc w:val="center"/>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Layout w:type="fixed"/>
        <w:tblCellMar>
          <w:top w:w="0" w:type="dxa"/>
          <w:left w:w="108" w:type="dxa"/>
          <w:bottom w:w="0" w:type="dxa"/>
          <w:right w:w="108" w:type="dxa"/>
        </w:tblCellMar>
      </w:tblPr>
      <w:tblGrid>
        <w:gridCol w:w="1450"/>
        <w:gridCol w:w="1450"/>
        <w:gridCol w:w="1450"/>
        <w:gridCol w:w="1450"/>
        <w:gridCol w:w="1450"/>
        <w:gridCol w:w="1453"/>
      </w:tblGrid>
      <w:tr>
        <w:tblPrEx>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CellMar>
            <w:top w:w="0" w:type="dxa"/>
            <w:left w:w="108" w:type="dxa"/>
            <w:bottom w:w="0" w:type="dxa"/>
            <w:right w:w="108" w:type="dxa"/>
          </w:tblCellMar>
        </w:tblPrEx>
        <w:trPr>
          <w:trHeight w:val="567" w:hRule="atLeast"/>
          <w:jc w:val="center"/>
        </w:trPr>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kern w:val="2"/>
                <w:sz w:val="24"/>
                <w:szCs w:val="24"/>
                <w:highlight w:val="none"/>
              </w:rPr>
            </w:pPr>
            <w:r>
              <w:rPr>
                <w:rFonts w:hint="eastAsia" w:hAnsi="仿宋" w:cs="宋体"/>
                <w:b/>
                <w:bCs/>
                <w:kern w:val="2"/>
                <w:sz w:val="24"/>
                <w:szCs w:val="24"/>
                <w:highlight w:val="none"/>
              </w:rPr>
              <w:t>一级指标</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kern w:val="2"/>
                <w:sz w:val="24"/>
                <w:szCs w:val="24"/>
                <w:highlight w:val="none"/>
              </w:rPr>
            </w:pPr>
            <w:r>
              <w:rPr>
                <w:rFonts w:hint="eastAsia" w:hAnsi="仿宋" w:cs="宋体"/>
                <w:b/>
                <w:bCs/>
                <w:kern w:val="2"/>
                <w:sz w:val="24"/>
                <w:szCs w:val="24"/>
                <w:highlight w:val="none"/>
              </w:rPr>
              <w:t>决策</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kern w:val="2"/>
                <w:sz w:val="24"/>
                <w:szCs w:val="24"/>
                <w:highlight w:val="none"/>
              </w:rPr>
            </w:pPr>
            <w:r>
              <w:rPr>
                <w:rFonts w:hint="eastAsia" w:hAnsi="仿宋" w:cs="宋体"/>
                <w:b/>
                <w:bCs/>
                <w:kern w:val="2"/>
                <w:sz w:val="24"/>
                <w:szCs w:val="24"/>
                <w:highlight w:val="none"/>
              </w:rPr>
              <w:t>过程</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kern w:val="2"/>
                <w:sz w:val="24"/>
                <w:szCs w:val="24"/>
                <w:highlight w:val="none"/>
              </w:rPr>
            </w:pPr>
            <w:r>
              <w:rPr>
                <w:rFonts w:hint="eastAsia" w:hAnsi="仿宋" w:cs="宋体"/>
                <w:b/>
                <w:bCs/>
                <w:kern w:val="2"/>
                <w:sz w:val="24"/>
                <w:szCs w:val="24"/>
                <w:highlight w:val="none"/>
              </w:rPr>
              <w:t>产出</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kern w:val="2"/>
                <w:sz w:val="24"/>
                <w:szCs w:val="24"/>
                <w:highlight w:val="none"/>
              </w:rPr>
            </w:pPr>
            <w:r>
              <w:rPr>
                <w:rFonts w:hint="eastAsia" w:hAnsi="仿宋" w:cs="宋体"/>
                <w:b/>
                <w:bCs/>
                <w:kern w:val="2"/>
                <w:sz w:val="24"/>
                <w:szCs w:val="24"/>
                <w:highlight w:val="none"/>
              </w:rPr>
              <w:t>效益</w:t>
            </w:r>
          </w:p>
        </w:tc>
        <w:tc>
          <w:tcPr>
            <w:tcW w:w="145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kern w:val="2"/>
                <w:sz w:val="24"/>
                <w:szCs w:val="24"/>
                <w:highlight w:val="none"/>
              </w:rPr>
            </w:pPr>
            <w:r>
              <w:rPr>
                <w:rFonts w:hint="eastAsia" w:hAnsi="仿宋" w:cs="宋体"/>
                <w:b/>
                <w:bCs/>
                <w:kern w:val="2"/>
                <w:sz w:val="24"/>
                <w:szCs w:val="24"/>
                <w:highlight w:val="none"/>
              </w:rPr>
              <w:t>合计</w:t>
            </w:r>
          </w:p>
        </w:tc>
      </w:tr>
      <w:tr>
        <w:tblPrEx>
          <w:tblBorders>
            <w:top w:val="single" w:color="000000" w:sz="12" w:space="0"/>
            <w:left w:val="none" w:color="auto" w:sz="0" w:space="0"/>
            <w:bottom w:val="single" w:color="000000" w:sz="12" w:space="0"/>
            <w:right w:val="none" w:color="auto" w:sz="0" w:space="0"/>
            <w:insideH w:val="single" w:color="000000" w:sz="12" w:space="0"/>
            <w:insideV w:val="none" w:color="auto" w:sz="0" w:space="0"/>
          </w:tblBorders>
          <w:tblCellMar>
            <w:top w:w="0" w:type="dxa"/>
            <w:left w:w="108" w:type="dxa"/>
            <w:bottom w:w="0" w:type="dxa"/>
            <w:right w:w="108" w:type="dxa"/>
          </w:tblCellMar>
        </w:tblPrEx>
        <w:trPr>
          <w:trHeight w:val="567" w:hRule="atLeast"/>
          <w:jc w:val="center"/>
        </w:trPr>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127" w:firstLineChars="50"/>
              <w:jc w:val="center"/>
              <w:textAlignment w:val="auto"/>
              <w:rPr>
                <w:rFonts w:hAnsi="仿宋" w:cs="宋体"/>
                <w:b/>
                <w:bCs/>
                <w:kern w:val="2"/>
                <w:sz w:val="24"/>
                <w:szCs w:val="24"/>
                <w:highlight w:val="none"/>
              </w:rPr>
            </w:pPr>
            <w:r>
              <w:rPr>
                <w:rFonts w:hint="eastAsia" w:hAnsi="仿宋" w:cs="宋体"/>
                <w:b/>
                <w:bCs/>
                <w:kern w:val="2"/>
                <w:sz w:val="24"/>
                <w:szCs w:val="24"/>
                <w:highlight w:val="none"/>
              </w:rPr>
              <w:t>分值</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color w:val="FF0000"/>
                <w:kern w:val="2"/>
                <w:sz w:val="24"/>
                <w:szCs w:val="24"/>
                <w:highlight w:val="none"/>
              </w:rPr>
            </w:pPr>
            <w:r>
              <w:rPr>
                <w:rFonts w:hint="eastAsia" w:hAnsi="仿宋" w:cs="宋体"/>
                <w:b/>
                <w:bCs/>
                <w:kern w:val="2"/>
                <w:sz w:val="24"/>
                <w:szCs w:val="24"/>
                <w:highlight w:val="none"/>
              </w:rPr>
              <w:t>20</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color w:val="FF0000"/>
                <w:kern w:val="2"/>
                <w:sz w:val="24"/>
                <w:szCs w:val="24"/>
                <w:highlight w:val="none"/>
              </w:rPr>
            </w:pPr>
            <w:r>
              <w:rPr>
                <w:rFonts w:hint="eastAsia" w:hAnsi="仿宋" w:cs="宋体"/>
                <w:b/>
                <w:bCs/>
                <w:kern w:val="2"/>
                <w:sz w:val="24"/>
                <w:szCs w:val="24"/>
                <w:highlight w:val="none"/>
              </w:rPr>
              <w:t>20</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color w:val="FF0000"/>
                <w:kern w:val="2"/>
                <w:sz w:val="24"/>
                <w:szCs w:val="24"/>
                <w:highlight w:val="none"/>
              </w:rPr>
            </w:pPr>
            <w:r>
              <w:rPr>
                <w:rFonts w:hint="eastAsia" w:hAnsi="仿宋" w:cs="宋体"/>
                <w:b/>
                <w:bCs/>
                <w:kern w:val="2"/>
                <w:sz w:val="24"/>
                <w:szCs w:val="24"/>
                <w:highlight w:val="none"/>
              </w:rPr>
              <w:t>30</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color w:val="FF0000"/>
                <w:kern w:val="2"/>
                <w:sz w:val="24"/>
                <w:szCs w:val="24"/>
                <w:highlight w:val="none"/>
              </w:rPr>
            </w:pPr>
            <w:r>
              <w:rPr>
                <w:rFonts w:hint="eastAsia" w:hAnsi="仿宋" w:cs="宋体"/>
                <w:b/>
                <w:bCs/>
                <w:kern w:val="2"/>
                <w:sz w:val="24"/>
                <w:szCs w:val="24"/>
                <w:highlight w:val="none"/>
              </w:rPr>
              <w:t>30</w:t>
            </w:r>
          </w:p>
        </w:tc>
        <w:tc>
          <w:tcPr>
            <w:tcW w:w="145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Ansi="仿宋" w:cs="宋体"/>
                <w:b/>
                <w:bCs/>
                <w:color w:val="FF0000"/>
                <w:kern w:val="2"/>
                <w:sz w:val="24"/>
                <w:szCs w:val="24"/>
                <w:highlight w:val="none"/>
              </w:rPr>
            </w:pPr>
            <w:r>
              <w:rPr>
                <w:rFonts w:hint="eastAsia" w:hAnsi="仿宋" w:cs="宋体"/>
                <w:b/>
                <w:bCs/>
                <w:kern w:val="2"/>
                <w:sz w:val="24"/>
                <w:szCs w:val="24"/>
                <w:highlight w:val="none"/>
              </w:rPr>
              <w:t>100</w:t>
            </w:r>
          </w:p>
        </w:tc>
      </w:tr>
    </w:tbl>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rPr>
          <w:rFonts w:hAnsi="仿宋" w:cs="宋体"/>
          <w:color w:val="000000"/>
          <w:kern w:val="2"/>
          <w:szCs w:val="30"/>
          <w:highlight w:val="none"/>
        </w:rPr>
      </w:pPr>
      <w:r>
        <w:rPr>
          <w:rFonts w:hint="eastAsia" w:hAnsi="仿宋" w:cs="宋体"/>
          <w:color w:val="000000"/>
          <w:kern w:val="2"/>
          <w:szCs w:val="30"/>
          <w:highlight w:val="none"/>
        </w:rPr>
        <w:t>具体指标体系，详见附件1。</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rPr>
          <w:rFonts w:hAnsi="仿宋" w:cs="宋体"/>
          <w:color w:val="000000"/>
          <w:kern w:val="2"/>
          <w:szCs w:val="30"/>
          <w:highlight w:val="none"/>
        </w:rPr>
      </w:pPr>
      <w:r>
        <w:rPr>
          <w:rFonts w:hint="eastAsia" w:hAnsi="仿宋" w:cs="宋体"/>
          <w:color w:val="000000"/>
          <w:kern w:val="2"/>
          <w:szCs w:val="30"/>
          <w:highlight w:val="none"/>
        </w:rPr>
        <w:t>绩效评价实行100分制，评价结果设四个等级：优（≥90分）；良（≥80分，＜90分）；中（≥60分，＜80分）；差（＜60分）。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41" w:name="_Toc42503810"/>
      <w:bookmarkStart w:id="42" w:name="_Toc42518797"/>
      <w:bookmarkStart w:id="43" w:name="_Toc4694"/>
      <w:r>
        <w:rPr>
          <w:rFonts w:hint="eastAsia" w:ascii="楷体" w:hAnsi="楷体" w:eastAsia="楷体"/>
          <w:szCs w:val="30"/>
          <w:highlight w:val="none"/>
          <w:shd w:val="clear" w:color="auto" w:fill="FFFFFF" w:themeFill="background1"/>
        </w:rPr>
        <w:t>（七）绩效评价方法</w:t>
      </w:r>
      <w:bookmarkEnd w:id="41"/>
      <w:bookmarkEnd w:id="42"/>
      <w:bookmarkEnd w:id="43"/>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本次评价采取现场抽查和非现场评价相结合的方式实施评价，具体采用审阅核对、公众调查、询问查证、问卷调查等评价方法。</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因本次绩效评价现场调研期间正值高温用电高峰期，平伟公司按照区级有关部门限电要求关闭了部分产线，部分员工未正常上班，故本次评价问卷调研群众数量有限，评价小组向平伟公司工作人员共发放问卷20份，回收有效问卷20份。</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44" w:name="_Toc42518798"/>
      <w:bookmarkStart w:id="45" w:name="_Toc10541"/>
      <w:bookmarkStart w:id="46" w:name="_Toc42503811"/>
      <w:r>
        <w:rPr>
          <w:rFonts w:hint="eastAsia" w:ascii="楷体" w:hAnsi="楷体" w:eastAsia="楷体"/>
          <w:szCs w:val="30"/>
          <w:highlight w:val="none"/>
          <w:shd w:val="clear" w:color="auto" w:fill="FFFFFF" w:themeFill="background1"/>
        </w:rPr>
        <w:t>（八）绩效评价实施过程</w:t>
      </w:r>
      <w:bookmarkEnd w:id="44"/>
      <w:bookmarkEnd w:id="45"/>
      <w:bookmarkEnd w:id="46"/>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评价工作主要经过以下过程：</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1.前期准备。成立评价工作组，并对自主可控功率半导体离散型智能制造车间建设项目相关文件进行深入学习，与区财政局就绩效评价工作开展讨论，形成绩效评价方案，明确绩效评价指标体系。</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2.组织实施。评价小组人员进入项目现场，开展实地调研、公众访谈、问卷调查，对项目资料、财务资料进行查证核对。</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3.分析评价。对收集的相关数据、资料、信息进行梳理、分析和甄别，按评价指标体系对项目进行综合评价，将评价结果与有关部门沟通讨论并修正，形成正式评价结论。</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4.编写报告。根据评价结论，编写绩效评价报告。</w:t>
      </w:r>
      <w:bookmarkStart w:id="47" w:name="_Toc42518799"/>
      <w:r>
        <w:rPr>
          <w:rFonts w:hint="eastAsia" w:hAnsi="仿宋" w:cs="Times New Roman"/>
          <w:szCs w:val="30"/>
          <w:highlight w:val="none"/>
          <w:lang w:val="en-US" w:eastAsia="zh-CN"/>
        </w:rPr>
        <w:t>就绩效评价报告（征求意见稿）与区财政局和实施部门等进行沟通，几方无异议后出具正式绩效评价报告。</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0"/>
        <w:rPr>
          <w:rFonts w:ascii="黑体" w:hAnsi="宋体" w:eastAsia="黑体" w:cs="宋体"/>
          <w:szCs w:val="30"/>
          <w:highlight w:val="none"/>
          <w:shd w:val="clear" w:color="auto" w:fill="FFFFFF" w:themeFill="background1"/>
        </w:rPr>
      </w:pPr>
      <w:bookmarkStart w:id="48" w:name="_Toc17712"/>
      <w:r>
        <w:rPr>
          <w:rFonts w:hint="eastAsia" w:ascii="黑体" w:hAnsi="宋体" w:eastAsia="黑体" w:cs="宋体"/>
          <w:szCs w:val="30"/>
          <w:highlight w:val="none"/>
          <w:shd w:val="clear" w:color="auto" w:fill="FFFFFF" w:themeFill="background1"/>
        </w:rPr>
        <w:t>三、绩效情况分析</w:t>
      </w:r>
      <w:bookmarkEnd w:id="47"/>
      <w:bookmarkEnd w:id="48"/>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根据绩效评价指标，按“决策——过程——产出——效益”（即项目决策、项目过程、项目产出、项目效益）逐项分析评价如下：</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49" w:name="_Toc42503813"/>
      <w:bookmarkStart w:id="50" w:name="_Toc42518800"/>
      <w:bookmarkStart w:id="51" w:name="_Toc12483"/>
      <w:r>
        <w:rPr>
          <w:rFonts w:hint="eastAsia" w:ascii="楷体" w:hAnsi="楷体" w:eastAsia="楷体"/>
          <w:szCs w:val="30"/>
          <w:highlight w:val="none"/>
          <w:shd w:val="clear" w:color="auto" w:fill="FFFFFF" w:themeFill="background1"/>
        </w:rPr>
        <w:t>（一）项目</w:t>
      </w:r>
      <w:bookmarkEnd w:id="49"/>
      <w:bookmarkEnd w:id="50"/>
      <w:r>
        <w:rPr>
          <w:rFonts w:hint="eastAsia" w:ascii="楷体" w:hAnsi="楷体" w:eastAsia="楷体"/>
          <w:szCs w:val="30"/>
          <w:highlight w:val="none"/>
          <w:shd w:val="clear" w:color="auto" w:fill="FFFFFF" w:themeFill="background1"/>
        </w:rPr>
        <w:t>决策</w:t>
      </w:r>
      <w:bookmarkEnd w:id="51"/>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bookmarkStart w:id="52" w:name="_Toc42518801"/>
      <w:bookmarkStart w:id="53" w:name="_Toc42503814"/>
      <w:r>
        <w:rPr>
          <w:rFonts w:hint="eastAsia" w:hAnsi="仿宋" w:cs="Times New Roman"/>
          <w:szCs w:val="30"/>
          <w:highlight w:val="none"/>
          <w:lang w:val="en-US" w:eastAsia="zh-CN"/>
        </w:rPr>
        <w:t>1.项目立项</w:t>
      </w:r>
      <w:bookmarkEnd w:id="52"/>
      <w:bookmarkEnd w:id="53"/>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（1）立项依据充分性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为全面贯彻</w:t>
      </w:r>
      <w:r>
        <w:rPr>
          <w:rFonts w:hint="eastAsia" w:hAnsi="仿宋" w:cs="Times New Roman"/>
          <w:szCs w:val="30"/>
          <w:highlight w:val="none"/>
          <w:lang w:val="en-US" w:eastAsia="zh-CN"/>
        </w:rPr>
        <w:fldChar w:fldCharType="begin"/>
      </w:r>
      <w:r>
        <w:rPr>
          <w:rFonts w:hint="eastAsia" w:hAnsi="仿宋" w:cs="Times New Roman"/>
          <w:szCs w:val="30"/>
          <w:highlight w:val="none"/>
          <w:lang w:val="en-US" w:eastAsia="zh-CN"/>
        </w:rPr>
        <w:instrText xml:space="preserve"> HYPERLINK "https://baike.sogou.com/lemma/ShowInnerLink.htm?lemmaId=50360514&amp;ss_c=ssc.citiao.link" \t "https://baike.sogou.com/_blank" </w:instrText>
      </w:r>
      <w:r>
        <w:rPr>
          <w:rFonts w:hint="eastAsia" w:hAnsi="仿宋" w:cs="Times New Roman"/>
          <w:szCs w:val="30"/>
          <w:highlight w:val="none"/>
          <w:lang w:val="en-US" w:eastAsia="zh-CN"/>
        </w:rPr>
        <w:fldChar w:fldCharType="separate"/>
      </w:r>
      <w:r>
        <w:rPr>
          <w:rFonts w:hint="eastAsia" w:hAnsi="仿宋" w:cs="Times New Roman"/>
          <w:szCs w:val="30"/>
          <w:highlight w:val="none"/>
          <w:lang w:val="en-US" w:eastAsia="zh-CN"/>
        </w:rPr>
        <w:t>中共十八大</w:t>
      </w:r>
      <w:r>
        <w:rPr>
          <w:rFonts w:hint="eastAsia" w:hAnsi="仿宋" w:cs="Times New Roman"/>
          <w:szCs w:val="30"/>
          <w:highlight w:val="none"/>
          <w:lang w:val="en-US" w:eastAsia="zh-CN"/>
        </w:rPr>
        <w:fldChar w:fldCharType="end"/>
      </w:r>
      <w:r>
        <w:rPr>
          <w:rFonts w:hint="eastAsia" w:hAnsi="仿宋" w:cs="Times New Roman"/>
          <w:szCs w:val="30"/>
          <w:highlight w:val="none"/>
          <w:lang w:val="en-US" w:eastAsia="zh-CN"/>
        </w:rPr>
        <w:t>和十八届二中、三中、四中全会精神，坚持走中国特色新型工业化道路，以促进制造业创新发展为主题，以提质增效为中心，以加快</w:t>
      </w:r>
      <w:r>
        <w:rPr>
          <w:rFonts w:hint="eastAsia" w:hAnsi="仿宋" w:cs="Times New Roman"/>
          <w:szCs w:val="30"/>
          <w:highlight w:val="none"/>
          <w:lang w:val="en-US" w:eastAsia="zh-CN"/>
        </w:rPr>
        <w:fldChar w:fldCharType="begin"/>
      </w:r>
      <w:r>
        <w:rPr>
          <w:rFonts w:hint="eastAsia" w:hAnsi="仿宋" w:cs="Times New Roman"/>
          <w:szCs w:val="30"/>
          <w:highlight w:val="none"/>
          <w:lang w:val="en-US" w:eastAsia="zh-CN"/>
        </w:rPr>
        <w:instrText xml:space="preserve"> HYPERLINK "https://baike.sogou.com/lemma/ShowInnerLink.htm?lemmaId=53084850&amp;ss_c=ssc.citiao.link" \t "https://baike.sogou.com/_blank" </w:instrText>
      </w:r>
      <w:r>
        <w:rPr>
          <w:rFonts w:hint="eastAsia" w:hAnsi="仿宋" w:cs="Times New Roman"/>
          <w:szCs w:val="30"/>
          <w:highlight w:val="none"/>
          <w:lang w:val="en-US" w:eastAsia="zh-CN"/>
        </w:rPr>
        <w:fldChar w:fldCharType="separate"/>
      </w:r>
      <w:r>
        <w:rPr>
          <w:rFonts w:hint="eastAsia" w:hAnsi="仿宋" w:cs="Times New Roman"/>
          <w:szCs w:val="30"/>
          <w:highlight w:val="none"/>
          <w:lang w:val="en-US" w:eastAsia="zh-CN"/>
        </w:rPr>
        <w:t>新一代信息技术</w:t>
      </w:r>
      <w:r>
        <w:rPr>
          <w:rFonts w:hint="eastAsia" w:hAnsi="仿宋" w:cs="Times New Roman"/>
          <w:szCs w:val="30"/>
          <w:highlight w:val="none"/>
          <w:lang w:val="en-US" w:eastAsia="zh-CN"/>
        </w:rPr>
        <w:fldChar w:fldCharType="end"/>
      </w:r>
      <w:r>
        <w:rPr>
          <w:rFonts w:hint="eastAsia" w:hAnsi="仿宋" w:cs="Times New Roman"/>
          <w:szCs w:val="30"/>
          <w:highlight w:val="none"/>
          <w:lang w:val="en-US" w:eastAsia="zh-CN"/>
        </w:rPr>
        <w:t>与制造业深度融合为主线，以推进智能制造为主攻方向，以满足经济社会发展和国防建设对重大技术装备的需求为目标，强化工业基础能力，提高综合集成水平，完善多层次多类型人才培养体系，促进</w:t>
      </w:r>
      <w:r>
        <w:rPr>
          <w:rFonts w:hint="eastAsia" w:hAnsi="仿宋" w:cs="Times New Roman"/>
          <w:szCs w:val="30"/>
          <w:highlight w:val="none"/>
          <w:lang w:val="en-US" w:eastAsia="zh-CN"/>
        </w:rPr>
        <w:fldChar w:fldCharType="begin"/>
      </w:r>
      <w:r>
        <w:rPr>
          <w:rFonts w:hint="eastAsia" w:hAnsi="仿宋" w:cs="Times New Roman"/>
          <w:szCs w:val="30"/>
          <w:highlight w:val="none"/>
          <w:lang w:val="en-US" w:eastAsia="zh-CN"/>
        </w:rPr>
        <w:instrText xml:space="preserve"> HYPERLINK "https://baike.sogou.com/lemma/ShowInnerLink.htm?lemmaId=7842790&amp;ss_c=ssc.citiao.link" \t "https://baike.sogou.com/_blank" </w:instrText>
      </w:r>
      <w:r>
        <w:rPr>
          <w:rFonts w:hint="eastAsia" w:hAnsi="仿宋" w:cs="Times New Roman"/>
          <w:szCs w:val="30"/>
          <w:highlight w:val="none"/>
          <w:lang w:val="en-US" w:eastAsia="zh-CN"/>
        </w:rPr>
        <w:fldChar w:fldCharType="separate"/>
      </w:r>
      <w:r>
        <w:rPr>
          <w:rFonts w:hint="eastAsia" w:hAnsi="仿宋" w:cs="Times New Roman"/>
          <w:szCs w:val="30"/>
          <w:highlight w:val="none"/>
          <w:lang w:val="en-US" w:eastAsia="zh-CN"/>
        </w:rPr>
        <w:t>产业转型升级</w:t>
      </w:r>
      <w:r>
        <w:rPr>
          <w:rFonts w:hint="eastAsia" w:hAnsi="仿宋" w:cs="Times New Roman"/>
          <w:szCs w:val="30"/>
          <w:highlight w:val="none"/>
          <w:lang w:val="en-US" w:eastAsia="zh-CN"/>
        </w:rPr>
        <w:fldChar w:fldCharType="end"/>
      </w:r>
      <w:r>
        <w:rPr>
          <w:rFonts w:hint="eastAsia" w:hAnsi="仿宋" w:cs="Times New Roman"/>
          <w:szCs w:val="30"/>
          <w:highlight w:val="none"/>
          <w:lang w:val="en-US" w:eastAsia="zh-CN"/>
        </w:rPr>
        <w:t>，培育有中国特色的制造文化，实现制造业由大变强的历史跨越。国务院印发了《中国制造2025》的通知，《中国制造2025》是我国实施制造强国战略第一个十年的行动纲领，提出坚持“创新驱动、质量为先、绿色发展、结构优化、人才为本”的基本方针，坚持“市场主导、政府引导，立足当前、着眼长远，整体推进、重点突破，自主发展、开放合作”的基本原则，通过“三步走”实现制造强国的战略目标：第一步，到2025年迈入制造强国行列；第二步，到2035年我国制造业整体达到世界制造强国阵营中等水平；第三步，到新中国成立一百年时，我制造业大国地位更加巩固，综合实力进入世界制造强国前列。</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此外，我国是全球最大的电子产品（手机、电脑、汽车、电视机、空调等）生产国或者消费国，而我国传统的半导体研发生产企业广泛存在研发设计与管理、经营管理、生产制造以及产业链协作等业务环节研发周期长、市场响应速度慢、信息透明度低、物流管控困难、生产质量难以控制等问题，导致我国的半导体行业与国外发达国家相比具有非常大的差距，大量网络通讯产品和电子器件中的半导体核心器件依赖于海外进口，从根本上导致我国电子信息安全得不到保障，因此打造具有自主知识产权的核心关键半导体器件迫在眉睫。</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平伟公司系重庆市工业“双百企业”之一，属重庆市十大战略性新兴产业领域，是西南地区电子元器件龙头企业。为贯彻落实《中国制造2025》精神，深入实施智能制造工程，助推制造业转型升级、提质增效，平伟公司积极响应国家《中国制造2025》、“两化融合”号召，将互联网、物联网、云计算、人工智能、工业大数据等先进信息技术与传统制造技术的深度融合，实施自主可控功率半导体离散型智能制造车间建设项目，打造半导体封测企业的智能制造创新模式，促进传统半导体封装行业的转型升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评价认为，自主可控功率半导体离散型智能制造车间建设项目实施符合国民发展规划和上级政府决策，立项依据充分。同时项目实施具有必要性、急迫性和可行性，项目整体论证合理。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本项指标设定分值4分，经综合评价，指标得分4分。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（2）立项程序规范性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通过审查项目任务书、实施方案、会议纪要、项目申报及批复等项目立项资料发现，自主可控功率半导体离散型智能制造车间建设项目基本依照中央及市区两级相关项目立项程序进行。项目符合申报条件，设立程序符合相关规定。同时，根据区经信委和平伟公司提供其他的相关资料显示，项目所提交的文件、材料基本符合相关要求，内容较规范完整，但项目调整手续存在不规范现象。具体表现为：立项批复文件规定本项目完成时间为2019年6月，总投资22,180.00万元，但本项目竣工验收报告出具时间为2019年12月，项目工期超期五月有余。2019年12月1日平伟公司向重庆市经济和信息化委员会（以下简称“市经信委”）递交了项目调整的请示，市经信委组织专家对项目调整内容进行评审后于2019年12月23日下达调整批复：同意本项目延期6个月，调整后实施期为2017年6月－2019年12月；项目总投资由22,180.00万元调整为21,215.19万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综上所述，本项目在超期完工验收之后才申请调整项目工期和预算，项目调整手续不符合规定。</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本项指标设定分值4分，经综合评价，指标得分3分。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2.绩效目标情况</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（1）绩效目标合理性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审查发现，区经信委和平伟公司并未根据本项目编制绩效目标申报表，也未按“渝财产业〔2020〕225号”文件要求在预算执行结束后对照绩效目标开展绩效自评，但在项目实施方案中明确了本项目总体目标、年度考核指标和预期效益，同时按市经信委要求编制了《2017年度中央对地方专项转移支付区域（项目）绩效目标自评表》与《项目建设实施和支出绩效目标执行监控表》（2020年5月编制），本次评价暂以绩效目标监控表评判绩效目标合理性。根据上述绩效目标执行监控表显示，自主可控功率半导体离散型智能制造车间建设项目绩效目标为“本项目的建设和应用，将实现生产效率提高25%以上、运营成本降低20%以上、产品研制周期缩短30%以上，产品不良品率降低25%以上、能源利用率提高15%以上；功率半导体器件年产在原有10亿只基础上新增产6亿只，新增产值4.5亿元，新增出口创汇1500万美元以上，新增利税4500万元，实现效益翻番”。</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评价认为，上述绩效目标明确、合理，项目预期产出效益和效果是否符合正常水平。</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本项指标设定分值2分，经综合评价，指标得分2分。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（2）绩效指标明确性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根据平伟公司提供的《项目建设实施和支出绩效目标执行监控表》显示，自主可控功率半导体离散型智能制造车间建设项目将绩效目标量化分解成5个绩效指标，即“产品研制周期缩短30%”、“运营成本降低20%”、“生产效率提升25%”“产品不良品率降低25%”、“能源利用率提高15%”。</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上述绩效指标虽将项目绩效目标进行细化分解，但仍存在以下问题：一是未将绩效目标所有内容全部分解成具体的绩效指标，如“实现功率半导体器件年产在原有10亿只基础上新增产6亿只，新增产值4.5亿元”等未设置对应的绩效指标；二是绩效目标执行监控表仅笼统设置了5个绩效指标，未将绩效目标进一步细化分解成三级指标分别设置；指标设置不完整，将绩效目标执行监控表中绩效指标整理发现，上述5个指标均为产出数量指标，缺少产出质量、产出时效、产出成本、效益及满意度指标。</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评价认为，上述绩效目标执行监控表未将绩效目标全部分解为具体绩效指标，且项目指标设置不满足“绩效指标清晰、细化、可衡量”的标准。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本项指标设定分值2分，经综合评价，指标得分1分。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3.资金投入</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（1）预算编制科学性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自主可控功率半导体离散型智能制造车间建设项目在项目申报之初编制了项目实施方案和项目任务书，项目任务书中包含本项目经费预算，该预算按实施内容细化、明确了项目设备费、材料费、测试化验加工费、燃料动力费、人员费、专家咨询费等成本费用，测算说明详细充分，且该预算经市经信委审批并报工信部备案。根据审批结果，项目审定预算金额为22,180.00万元。同时项目实施过程中因软件系统和硬件设备调整，项目预算经市经信委同意后调整为21,215.19万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根据专项审计报告，本项目实际总投资为21,215.19万元，预算投资额完成率为100.00%。</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评价认为，项目预算编制经过科学论证，预算内容与项目内容相匹配，额度测算依据充分，按规定标准编制，预算确定的项目投资额与工作任务契合度较高。</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本项指标设定分值4分，经综合评价，指标得分4分。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（2）资金分配合理性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通过查看项目任务书中关于资金分配的情况和项目预算调整批复，并结合项目实施过程中资金使用情况发现，自主可控功率半导体离散型智能制造车间建设项目是根据项目计划实施内容编制预算，各实施单位严格按照实施内容和项目联合申报协议中经费分配方案对项目资金进行分配。评价认为，项目资金分配依据充分，分配额度合理且与地方实际相适应。</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本项指标设定分值4分，经综合评价，指标得分4分。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hint="eastAsia" w:ascii="楷体" w:hAnsi="楷体" w:eastAsia="楷体"/>
          <w:szCs w:val="30"/>
          <w:highlight w:val="none"/>
          <w:shd w:val="clear" w:color="auto" w:fill="FFFFFF" w:themeFill="background1"/>
          <w:lang w:val="en-US" w:eastAsia="zh-CN"/>
        </w:rPr>
      </w:pPr>
      <w:bookmarkStart w:id="54" w:name="_Toc19365"/>
      <w:r>
        <w:rPr>
          <w:rFonts w:hint="eastAsia" w:ascii="楷体" w:hAnsi="楷体" w:eastAsia="楷体"/>
          <w:szCs w:val="30"/>
          <w:highlight w:val="none"/>
          <w:shd w:val="clear" w:color="auto" w:fill="FFFFFF" w:themeFill="background1"/>
          <w:lang w:val="en-US" w:eastAsia="zh-CN"/>
        </w:rPr>
        <w:t>（二）项目</w:t>
      </w:r>
      <w:bookmarkEnd w:id="7"/>
      <w:bookmarkEnd w:id="8"/>
      <w:r>
        <w:rPr>
          <w:rFonts w:hint="eastAsia" w:ascii="楷体" w:hAnsi="楷体" w:eastAsia="楷体"/>
          <w:szCs w:val="30"/>
          <w:highlight w:val="none"/>
          <w:shd w:val="clear" w:color="auto" w:fill="FFFFFF" w:themeFill="background1"/>
          <w:lang w:val="en-US" w:eastAsia="zh-CN"/>
        </w:rPr>
        <w:t>管理</w:t>
      </w:r>
      <w:bookmarkEnd w:id="54"/>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bookmarkStart w:id="55" w:name="_Toc45550623"/>
      <w:bookmarkStart w:id="56" w:name="_Toc42503817"/>
      <w:r>
        <w:rPr>
          <w:rFonts w:hint="eastAsia" w:hAnsi="仿宋" w:cs="Times New Roman"/>
          <w:szCs w:val="30"/>
          <w:highlight w:val="none"/>
          <w:lang w:val="en-US" w:eastAsia="zh-CN"/>
        </w:rPr>
        <w:t>1.资金管理</w:t>
      </w:r>
      <w:bookmarkEnd w:id="55"/>
      <w:bookmarkEnd w:id="56"/>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（1）资金到位</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根据区经信委财务人员提供的项目明细账显示，截至2021年末，项目绩效评价范围内1,000.00万元市级专项资金已全部足额到位，资金到位率为100.00%；资金均在2021年4月30日及以前到账，到位及时率为100.00%。</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本项指标设定分值2分，经综合评价，指标得分2分。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（2）预算执行</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根据项目各实施单位提供的专项审计报告及相关财务明细账显示，自主可控功率半导体离散型智能制造车间建设项目2021年实际到位资金1,000.00万元，实际使用1,000.00万元，项目预算执行率为100.00%，具体情况如下：</w:t>
      </w:r>
    </w:p>
    <w:tbl>
      <w:tblPr>
        <w:tblStyle w:val="25"/>
        <w:tblW w:w="8844" w:type="dxa"/>
        <w:tblInd w:w="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09"/>
        <w:gridCol w:w="1778"/>
        <w:gridCol w:w="1252"/>
        <w:gridCol w:w="1252"/>
        <w:gridCol w:w="12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8844" w:type="dxa"/>
            <w:gridSpan w:val="5"/>
            <w:tcBorders>
              <w:top w:val="nil"/>
              <w:left w:val="nil"/>
              <w:bottom w:val="nil"/>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b/>
                <w:color w:val="000000"/>
                <w:sz w:val="24"/>
                <w:szCs w:val="24"/>
                <w:lang w:eastAsia="zh-CN"/>
              </w:rPr>
            </w:pPr>
            <w:r>
              <w:rPr>
                <w:rFonts w:hint="eastAsia" w:hAnsi="仿宋" w:cs="仿宋"/>
                <w:b/>
                <w:color w:val="000000"/>
                <w:sz w:val="24"/>
                <w:szCs w:val="24"/>
                <w:lang w:val="en-US" w:eastAsia="zh-CN"/>
              </w:rPr>
              <w:t>表1：</w:t>
            </w:r>
            <w:r>
              <w:rPr>
                <w:rFonts w:hint="eastAsia" w:ascii="仿宋" w:hAnsi="仿宋" w:eastAsia="仿宋" w:cs="仿宋"/>
                <w:b/>
                <w:color w:val="000000"/>
                <w:sz w:val="24"/>
                <w:szCs w:val="24"/>
              </w:rPr>
              <w:t>20</w:t>
            </w:r>
            <w:r>
              <w:rPr>
                <w:rFonts w:hint="eastAsia" w:hAnsi="仿宋" w:cs="仿宋"/>
                <w:b/>
                <w:color w:val="000000"/>
                <w:sz w:val="24"/>
                <w:szCs w:val="24"/>
                <w:lang w:val="en-US" w:eastAsia="zh-CN"/>
              </w:rPr>
              <w:t>21</w:t>
            </w:r>
            <w:r>
              <w:rPr>
                <w:rFonts w:hint="eastAsia" w:ascii="仿宋" w:hAnsi="仿宋" w:eastAsia="仿宋" w:cs="仿宋"/>
                <w:b/>
                <w:color w:val="000000"/>
                <w:sz w:val="24"/>
                <w:szCs w:val="24"/>
              </w:rPr>
              <w:t>年</w:t>
            </w:r>
            <w:r>
              <w:rPr>
                <w:rFonts w:hint="eastAsia" w:ascii="仿宋" w:hAnsi="仿宋" w:eastAsia="仿宋" w:cs="仿宋"/>
                <w:b/>
                <w:color w:val="000000"/>
                <w:sz w:val="24"/>
                <w:szCs w:val="24"/>
                <w:lang w:eastAsia="zh-CN"/>
              </w:rPr>
              <w:t>自主可控功率半导体离散型智能制造车间建设项目</w:t>
            </w:r>
          </w:p>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宋体" w:hAnsi="宋体"/>
                <w:b/>
                <w:color w:val="000000"/>
                <w:sz w:val="20"/>
                <w:szCs w:val="24"/>
              </w:rPr>
            </w:pPr>
            <w:r>
              <w:rPr>
                <w:rFonts w:hint="eastAsia" w:hAnsi="仿宋" w:cs="仿宋"/>
                <w:b/>
                <w:color w:val="000000"/>
                <w:sz w:val="24"/>
                <w:szCs w:val="24"/>
                <w:lang w:val="en-US" w:eastAsia="zh-CN"/>
              </w:rPr>
              <w:t>中央</w:t>
            </w:r>
            <w:r>
              <w:rPr>
                <w:rFonts w:hint="eastAsia" w:ascii="仿宋" w:hAnsi="仿宋" w:eastAsia="仿宋" w:cs="仿宋"/>
                <w:b/>
                <w:color w:val="000000"/>
                <w:sz w:val="24"/>
                <w:szCs w:val="24"/>
              </w:rPr>
              <w:t>补助资金实际使用情况表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8844" w:type="dxa"/>
            <w:gridSpan w:val="5"/>
            <w:tcBorders>
              <w:top w:val="nil"/>
              <w:left w:val="nil"/>
              <w:bottom w:val="single" w:color="auto" w:sz="6"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right"/>
              <w:textAlignment w:val="auto"/>
              <w:rPr>
                <w:rFonts w:hint="eastAsia" w:ascii="宋体" w:hAnsi="宋体"/>
                <w:color w:val="000000"/>
                <w:sz w:val="20"/>
                <w:szCs w:val="24"/>
              </w:rPr>
            </w:pPr>
            <w:r>
              <w:rPr>
                <w:rFonts w:hint="eastAsia" w:ascii="宋体" w:hAnsi="宋体"/>
                <w:b/>
                <w:bCs/>
                <w:color w:val="000000"/>
                <w:sz w:val="20"/>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309" w:type="dxa"/>
            <w:tcBorders>
              <w:top w:val="single" w:color="auto" w:sz="6" w:space="0"/>
              <w:left w:val="single" w:color="auto" w:sz="6" w:space="0"/>
              <w:bottom w:val="single" w:color="auto" w:sz="4"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default" w:ascii="宋体" w:hAnsi="宋体" w:eastAsia="仿宋"/>
                <w:b/>
                <w:color w:val="000000"/>
                <w:sz w:val="20"/>
                <w:szCs w:val="24"/>
                <w:lang w:val="en-US" w:eastAsia="zh-CN"/>
              </w:rPr>
            </w:pPr>
            <w:r>
              <w:rPr>
                <w:rFonts w:hint="eastAsia" w:ascii="宋体" w:hAnsi="宋体"/>
                <w:b/>
                <w:color w:val="000000"/>
                <w:sz w:val="20"/>
                <w:szCs w:val="24"/>
                <w:lang w:val="en-US" w:eastAsia="zh-CN"/>
              </w:rPr>
              <w:t>实施单位</w:t>
            </w:r>
          </w:p>
        </w:tc>
        <w:tc>
          <w:tcPr>
            <w:tcW w:w="1778" w:type="dxa"/>
            <w:tcBorders>
              <w:top w:val="single" w:color="auto" w:sz="6" w:space="0"/>
              <w:left w:val="single" w:color="auto" w:sz="6" w:space="0"/>
              <w:bottom w:val="single" w:color="auto" w:sz="4"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宋体" w:hAnsi="宋体"/>
                <w:b/>
                <w:color w:val="000000"/>
                <w:sz w:val="20"/>
                <w:szCs w:val="24"/>
              </w:rPr>
            </w:pPr>
            <w:r>
              <w:rPr>
                <w:rFonts w:hint="eastAsia" w:ascii="宋体" w:hAnsi="宋体"/>
                <w:b/>
                <w:color w:val="000000"/>
                <w:sz w:val="20"/>
                <w:szCs w:val="24"/>
              </w:rPr>
              <w:t>到位资金</w:t>
            </w:r>
          </w:p>
        </w:tc>
        <w:tc>
          <w:tcPr>
            <w:tcW w:w="1252" w:type="dxa"/>
            <w:tcBorders>
              <w:top w:val="single" w:color="auto" w:sz="6" w:space="0"/>
              <w:left w:val="single" w:color="auto" w:sz="6" w:space="0"/>
              <w:bottom w:val="single" w:color="auto" w:sz="4"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宋体" w:hAnsi="宋体"/>
                <w:b/>
                <w:color w:val="000000"/>
                <w:sz w:val="20"/>
                <w:szCs w:val="24"/>
              </w:rPr>
            </w:pPr>
            <w:r>
              <w:rPr>
                <w:rFonts w:hint="eastAsia" w:ascii="宋体" w:hAnsi="宋体"/>
                <w:b/>
                <w:color w:val="000000"/>
                <w:sz w:val="20"/>
                <w:szCs w:val="24"/>
              </w:rPr>
              <w:t>支付金额</w:t>
            </w:r>
          </w:p>
        </w:tc>
        <w:tc>
          <w:tcPr>
            <w:tcW w:w="1252" w:type="dxa"/>
            <w:tcBorders>
              <w:top w:val="single" w:color="auto" w:sz="6" w:space="0"/>
              <w:left w:val="single" w:color="auto" w:sz="6" w:space="0"/>
              <w:bottom w:val="single" w:color="auto" w:sz="4"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宋体" w:hAnsi="宋体"/>
                <w:b/>
                <w:color w:val="000000"/>
                <w:sz w:val="20"/>
                <w:szCs w:val="24"/>
              </w:rPr>
            </w:pPr>
            <w:r>
              <w:rPr>
                <w:rFonts w:hint="eastAsia" w:ascii="宋体" w:hAnsi="宋体"/>
                <w:b/>
                <w:color w:val="000000"/>
                <w:sz w:val="20"/>
                <w:szCs w:val="24"/>
              </w:rPr>
              <w:t>未付金额</w:t>
            </w:r>
          </w:p>
        </w:tc>
        <w:tc>
          <w:tcPr>
            <w:tcW w:w="1253" w:type="dxa"/>
            <w:tcBorders>
              <w:top w:val="single" w:color="auto" w:sz="6" w:space="0"/>
              <w:left w:val="single" w:color="auto" w:sz="6" w:space="0"/>
              <w:bottom w:val="single" w:color="auto" w:sz="4"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宋体" w:hAnsi="宋体"/>
                <w:b/>
                <w:color w:val="000000"/>
                <w:sz w:val="20"/>
                <w:szCs w:val="24"/>
              </w:rPr>
            </w:pPr>
            <w:r>
              <w:rPr>
                <w:rFonts w:hint="eastAsia" w:ascii="宋体" w:hAnsi="宋体"/>
                <w:b/>
                <w:color w:val="000000"/>
                <w:sz w:val="20"/>
                <w:szCs w:val="24"/>
              </w:rPr>
              <w:t>支付比例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3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lang w:val="en-US" w:eastAsia="zh-CN"/>
              </w:rPr>
              <w:t>重庆平伟实业股份有限公司</w:t>
            </w: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650.00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default" w:ascii="仿宋" w:hAnsi="仿宋" w:eastAsia="仿宋" w:cs="仿宋"/>
                <w:color w:val="000000"/>
                <w:sz w:val="20"/>
                <w:szCs w:val="24"/>
                <w:lang w:val="en-US"/>
              </w:rPr>
            </w:pPr>
            <w:r>
              <w:rPr>
                <w:rFonts w:hint="eastAsia" w:ascii="仿宋" w:hAnsi="仿宋" w:eastAsia="仿宋" w:cs="仿宋"/>
                <w:color w:val="000000"/>
                <w:sz w:val="20"/>
                <w:szCs w:val="24"/>
                <w:lang w:val="en-US" w:eastAsia="zh-CN"/>
              </w:rPr>
              <w:t>650.00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eastAsia="zh-CN"/>
              </w:rPr>
            </w:pPr>
            <w:r>
              <w:rPr>
                <w:rFonts w:hint="eastAsia" w:ascii="仿宋" w:hAnsi="仿宋" w:eastAsia="仿宋" w:cs="仿宋"/>
                <w:color w:val="000000"/>
                <w:sz w:val="20"/>
                <w:szCs w:val="24"/>
                <w:lang w:val="en-US" w:eastAsia="zh-CN"/>
              </w:rPr>
              <w:t>-</w:t>
            </w:r>
          </w:p>
        </w:tc>
        <w:tc>
          <w:tcPr>
            <w:tcW w:w="125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lang w:val="en-US" w:eastAsia="zh-CN"/>
              </w:rPr>
              <w:t>100.00</w:t>
            </w:r>
            <w:r>
              <w:rPr>
                <w:rFonts w:hint="eastAsia" w:ascii="仿宋" w:hAnsi="仿宋" w:eastAsia="仿宋" w:cs="仿宋"/>
                <w:color w:val="00000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3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lang w:val="en-US" w:eastAsia="zh-CN"/>
              </w:rPr>
              <w:t>重庆赛宝工业技术研究院</w:t>
            </w: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250.00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lang w:val="en-US" w:eastAsia="zh-CN"/>
              </w:rPr>
              <w:t>250.00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rPr>
              <w:t>-</w:t>
            </w:r>
          </w:p>
        </w:tc>
        <w:tc>
          <w:tcPr>
            <w:tcW w:w="125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3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工业和信息化部电子第五研究所</w:t>
            </w: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rPr>
              <w:t>-</w:t>
            </w:r>
          </w:p>
        </w:tc>
        <w:tc>
          <w:tcPr>
            <w:tcW w:w="125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lang w:val="en-US" w:eastAsia="zh-CN"/>
              </w:rPr>
              <w:t>100.00</w:t>
            </w:r>
            <w:r>
              <w:rPr>
                <w:rFonts w:hint="eastAsia" w:ascii="仿宋" w:hAnsi="仿宋" w:eastAsia="仿宋" w:cs="仿宋"/>
                <w:color w:val="00000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3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重庆大学</w:t>
            </w: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rPr>
              <w:t>-</w:t>
            </w:r>
          </w:p>
        </w:tc>
        <w:tc>
          <w:tcPr>
            <w:tcW w:w="125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lang w:val="en-US" w:eastAsia="zh-CN"/>
              </w:rPr>
              <w:t>100.00</w:t>
            </w:r>
            <w:r>
              <w:rPr>
                <w:rFonts w:hint="eastAsia" w:ascii="仿宋" w:hAnsi="仿宋" w:eastAsia="仿宋" w:cs="仿宋"/>
                <w:color w:val="00000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30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大连佳峰自动化股份有限公司</w:t>
            </w: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lang w:val="en-US" w:eastAsia="zh-CN"/>
              </w:rPr>
            </w:pPr>
            <w:r>
              <w:rPr>
                <w:rFonts w:hint="eastAsia" w:ascii="仿宋" w:hAnsi="仿宋" w:eastAsia="仿宋" w:cs="仿宋"/>
                <w:color w:val="000000"/>
                <w:sz w:val="20"/>
                <w:szCs w:val="24"/>
                <w:lang w:val="en-US" w:eastAsia="zh-CN"/>
              </w:rPr>
              <w:t>50.00</w:t>
            </w: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rPr>
              <w:t>-</w:t>
            </w:r>
          </w:p>
        </w:tc>
        <w:tc>
          <w:tcPr>
            <w:tcW w:w="125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color w:val="000000"/>
                <w:sz w:val="20"/>
                <w:szCs w:val="24"/>
              </w:rPr>
            </w:pPr>
            <w:r>
              <w:rPr>
                <w:rFonts w:hint="eastAsia" w:ascii="仿宋" w:hAnsi="仿宋" w:eastAsia="仿宋" w:cs="仿宋"/>
                <w:color w:val="000000"/>
                <w:sz w:val="20"/>
                <w:szCs w:val="24"/>
                <w:lang w:val="en-US" w:eastAsia="zh-CN"/>
              </w:rPr>
              <w:t>100.00</w:t>
            </w:r>
            <w:r>
              <w:rPr>
                <w:rFonts w:hint="eastAsia" w:ascii="仿宋" w:hAnsi="仿宋" w:eastAsia="仿宋" w:cs="仿宋"/>
                <w:color w:val="00000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309" w:type="dxa"/>
            <w:tcBorders>
              <w:top w:val="single" w:color="auto" w:sz="4"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b/>
                <w:color w:val="000000"/>
                <w:sz w:val="20"/>
                <w:szCs w:val="24"/>
              </w:rPr>
            </w:pPr>
            <w:r>
              <w:rPr>
                <w:rFonts w:hint="eastAsia" w:ascii="仿宋" w:hAnsi="仿宋" w:eastAsia="仿宋" w:cs="仿宋"/>
                <w:b/>
                <w:color w:val="000000"/>
                <w:sz w:val="20"/>
                <w:szCs w:val="24"/>
              </w:rPr>
              <w:t>合计</w:t>
            </w:r>
          </w:p>
        </w:tc>
        <w:tc>
          <w:tcPr>
            <w:tcW w:w="1778" w:type="dxa"/>
            <w:tcBorders>
              <w:top w:val="single" w:color="auto" w:sz="4"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b/>
                <w:color w:val="000000"/>
                <w:sz w:val="20"/>
                <w:szCs w:val="24"/>
              </w:rPr>
            </w:pPr>
            <w:r>
              <w:rPr>
                <w:rFonts w:hint="eastAsia" w:ascii="仿宋" w:hAnsi="仿宋" w:eastAsia="仿宋" w:cs="仿宋"/>
                <w:b/>
                <w:color w:val="000000"/>
                <w:sz w:val="20"/>
                <w:szCs w:val="24"/>
              </w:rPr>
              <w:t>1,</w:t>
            </w:r>
            <w:r>
              <w:rPr>
                <w:rFonts w:hint="eastAsia" w:hAnsi="仿宋" w:cs="仿宋"/>
                <w:b/>
                <w:color w:val="000000"/>
                <w:sz w:val="20"/>
                <w:szCs w:val="24"/>
                <w:lang w:val="en-US" w:eastAsia="zh-CN"/>
              </w:rPr>
              <w:t>000</w:t>
            </w:r>
            <w:r>
              <w:rPr>
                <w:rFonts w:hint="eastAsia" w:ascii="仿宋" w:hAnsi="仿宋" w:eastAsia="仿宋" w:cs="仿宋"/>
                <w:b/>
                <w:color w:val="000000"/>
                <w:sz w:val="20"/>
                <w:szCs w:val="24"/>
              </w:rPr>
              <w:t>.00</w:t>
            </w:r>
          </w:p>
        </w:tc>
        <w:tc>
          <w:tcPr>
            <w:tcW w:w="1252" w:type="dxa"/>
            <w:tcBorders>
              <w:top w:val="single" w:color="auto" w:sz="4"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b/>
                <w:color w:val="000000"/>
                <w:sz w:val="20"/>
                <w:szCs w:val="24"/>
              </w:rPr>
            </w:pPr>
            <w:r>
              <w:rPr>
                <w:rFonts w:hint="eastAsia" w:ascii="仿宋" w:hAnsi="仿宋" w:eastAsia="仿宋" w:cs="仿宋"/>
                <w:b/>
                <w:color w:val="000000"/>
                <w:sz w:val="20"/>
                <w:szCs w:val="24"/>
              </w:rPr>
              <w:t>1,</w:t>
            </w:r>
            <w:r>
              <w:rPr>
                <w:rFonts w:hint="eastAsia" w:hAnsi="仿宋" w:cs="仿宋"/>
                <w:b/>
                <w:color w:val="000000"/>
                <w:sz w:val="20"/>
                <w:szCs w:val="24"/>
                <w:lang w:val="en-US" w:eastAsia="zh-CN"/>
              </w:rPr>
              <w:t>000</w:t>
            </w:r>
            <w:r>
              <w:rPr>
                <w:rFonts w:hint="eastAsia" w:ascii="仿宋" w:hAnsi="仿宋" w:eastAsia="仿宋" w:cs="仿宋"/>
                <w:b/>
                <w:color w:val="000000"/>
                <w:sz w:val="20"/>
                <w:szCs w:val="24"/>
              </w:rPr>
              <w:t>.00</w:t>
            </w:r>
          </w:p>
        </w:tc>
        <w:tc>
          <w:tcPr>
            <w:tcW w:w="1252" w:type="dxa"/>
            <w:tcBorders>
              <w:top w:val="single" w:color="auto" w:sz="4"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b/>
                <w:color w:val="000000"/>
                <w:sz w:val="20"/>
                <w:szCs w:val="24"/>
                <w:lang w:eastAsia="zh-CN"/>
              </w:rPr>
            </w:pPr>
            <w:r>
              <w:rPr>
                <w:rFonts w:hint="eastAsia" w:hAnsi="仿宋" w:cs="仿宋"/>
                <w:b/>
                <w:color w:val="000000"/>
                <w:sz w:val="20"/>
                <w:szCs w:val="24"/>
                <w:lang w:val="en-US" w:eastAsia="zh-CN"/>
              </w:rPr>
              <w:t>-</w:t>
            </w:r>
          </w:p>
        </w:tc>
        <w:tc>
          <w:tcPr>
            <w:tcW w:w="1253" w:type="dxa"/>
            <w:tcBorders>
              <w:top w:val="single" w:color="auto" w:sz="4"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0" w:lineRule="atLeast"/>
              <w:jc w:val="center"/>
              <w:textAlignment w:val="auto"/>
              <w:rPr>
                <w:rFonts w:hint="eastAsia" w:ascii="仿宋" w:hAnsi="仿宋" w:eastAsia="仿宋" w:cs="仿宋"/>
                <w:b/>
                <w:color w:val="000000"/>
                <w:sz w:val="20"/>
                <w:szCs w:val="24"/>
              </w:rPr>
            </w:pPr>
            <w:r>
              <w:rPr>
                <w:rFonts w:hint="eastAsia" w:ascii="仿宋" w:hAnsi="仿宋" w:eastAsia="仿宋" w:cs="仿宋"/>
                <w:b/>
                <w:color w:val="000000"/>
                <w:sz w:val="20"/>
                <w:szCs w:val="24"/>
                <w:lang w:val="en-US" w:eastAsia="zh-CN"/>
              </w:rPr>
              <w:t>100.00</w:t>
            </w:r>
            <w:r>
              <w:rPr>
                <w:rFonts w:hint="eastAsia" w:ascii="仿宋" w:hAnsi="仿宋" w:eastAsia="仿宋" w:cs="仿宋"/>
                <w:b/>
                <w:color w:val="000000"/>
                <w:sz w:val="20"/>
                <w:szCs w:val="24"/>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37" w:firstLineChars="250"/>
        <w:textAlignment w:val="auto"/>
        <w:rPr>
          <w:rFonts w:hint="default" w:hAnsi="仿宋" w:eastAsia="仿宋" w:cs="宋体"/>
          <w:color w:val="000000"/>
          <w:kern w:val="2"/>
          <w:sz w:val="24"/>
          <w:szCs w:val="24"/>
          <w:highlight w:val="none"/>
          <w:lang w:val="en-US" w:eastAsia="zh-CN"/>
        </w:rPr>
      </w:pPr>
      <w:r>
        <w:rPr>
          <w:rFonts w:hint="eastAsia" w:hAnsi="仿宋" w:cs="宋体"/>
          <w:color w:val="000000"/>
          <w:kern w:val="2"/>
          <w:sz w:val="24"/>
          <w:szCs w:val="24"/>
          <w:highlight w:val="none"/>
          <w:lang w:val="en-US" w:eastAsia="zh-CN"/>
        </w:rPr>
        <w:t>注：2021年中央专项补助资金为本项目下达的第二批补助资金，重庆大学本次中央补助资金到位数为0的原因系“渝财产业</w:t>
      </w:r>
      <w:r>
        <w:rPr>
          <w:rFonts w:hint="eastAsia" w:hAnsi="仿宋" w:cs="宋体"/>
          <w:color w:val="000000"/>
          <w:kern w:val="2"/>
          <w:sz w:val="24"/>
          <w:szCs w:val="24"/>
          <w:highlight w:val="none"/>
        </w:rPr>
        <w:t>〔20</w:t>
      </w:r>
      <w:r>
        <w:rPr>
          <w:rFonts w:hint="eastAsia" w:hAnsi="仿宋" w:cs="宋体"/>
          <w:color w:val="000000"/>
          <w:kern w:val="2"/>
          <w:sz w:val="24"/>
          <w:szCs w:val="24"/>
          <w:highlight w:val="none"/>
          <w:lang w:val="en-US" w:eastAsia="zh-CN"/>
        </w:rPr>
        <w:t>17</w:t>
      </w:r>
      <w:r>
        <w:rPr>
          <w:rFonts w:hint="eastAsia" w:hAnsi="仿宋" w:cs="宋体"/>
          <w:color w:val="000000"/>
          <w:kern w:val="2"/>
          <w:sz w:val="24"/>
          <w:szCs w:val="24"/>
          <w:highlight w:val="none"/>
        </w:rPr>
        <w:t>〕</w:t>
      </w:r>
      <w:r>
        <w:rPr>
          <w:rFonts w:hint="eastAsia" w:hAnsi="仿宋" w:cs="宋体"/>
          <w:color w:val="000000"/>
          <w:kern w:val="2"/>
          <w:sz w:val="24"/>
          <w:szCs w:val="24"/>
          <w:highlight w:val="none"/>
          <w:lang w:val="en-US" w:eastAsia="zh-CN"/>
        </w:rPr>
        <w:t>204</w:t>
      </w:r>
      <w:r>
        <w:rPr>
          <w:rFonts w:hint="eastAsia" w:hAnsi="仿宋" w:cs="宋体"/>
          <w:color w:val="000000"/>
          <w:kern w:val="2"/>
          <w:sz w:val="24"/>
          <w:szCs w:val="24"/>
          <w:highlight w:val="none"/>
        </w:rPr>
        <w:t>号</w:t>
      </w:r>
      <w:r>
        <w:rPr>
          <w:rFonts w:hint="eastAsia" w:hAnsi="仿宋" w:cs="宋体"/>
          <w:color w:val="000000"/>
          <w:kern w:val="2"/>
          <w:sz w:val="24"/>
          <w:szCs w:val="24"/>
          <w:highlight w:val="none"/>
          <w:lang w:val="en-US" w:eastAsia="zh-CN"/>
        </w:rPr>
        <w:t>”下达第一批中央专项补助资金时，平伟公司已按项目联合申报补充协议中约定的资金分配比例将两批补助资金一次性拨付至重庆大学，故本次重庆大学到位资金为0元。</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本项指标设定分值2分，经综合评价，指标得分2分。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（3）资金使用合规性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bookmarkStart w:id="57" w:name="_Toc45550624"/>
      <w:r>
        <w:rPr>
          <w:rFonts w:hint="eastAsia" w:hAnsi="仿宋" w:cs="Times New Roman"/>
          <w:szCs w:val="30"/>
          <w:highlight w:val="none"/>
          <w:lang w:val="en-US" w:eastAsia="zh-CN"/>
        </w:rPr>
        <w:t>在资金使用合规性上，区经信委和各实施单位除严格按照《工业转型升级（中国制造2025）资金管理办法》执行外，还根据自身财务管理制度对本项目的资金使用履行了审批程序。评价中发现，各项审批手续到位，资金用途符合资金文件规定。同时资金使用也按规定进行财务核算，资金使用合规性整体较好，但存在资金支付时间晚于合同规定时间的情况，如2020年5月平伟公司支付重庆金蝶软件（中国）有限公司重庆分公司4.90万元，金蝶软件销售合同（合同编号PWS20190201）约定该笔资金支付时间应为项目验收签字确认且提供等额增值税专用发票后之日起3个工作日内，该发票开具时间为2019年8月，且项目已于2019年验收完成并投入使用，资金未按合同约定及时支付。</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在资金监控方面，区经信委和各实施单位财务人员按照自身财务监管制度对项目资金使用情况进行监控，评价虽未发现存在监控严重失效的情况，但存在资金支付不及时的情况，监控过程中未做到及时督促相关单位按合同约定方式进行资金支付。</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本项指标设定分值6分，经综合评价，指标得分5分。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2.业务管理</w:t>
      </w:r>
      <w:bookmarkEnd w:id="57"/>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（1）组织管理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主管部门方面：区经信委提供的相关资料显示，自主可控功率半导体离散型智能制造车间建设项目组织机构和人员配备健全，区经信委以责任科室统一领导，其余科室相互配合的模式，以此加强对项目工作的领导。同时通过严格执行上级文件规定的管理模式明确项目工作任务、工作职责、工作要求，并将项目工作任务分解安排到相关科室专人负责管理，确保组织实施。</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实施单位方面：自主可控功率半导体离散型智能制造车间建设项目是多家单位联合申报项目，其责任单位为重庆平伟实业股份有限公司，项目联合单位为重庆赛宝工业技术研究院、工业和信息化部电子第五研究所、大连佳峰自动化股份有限公司、重庆大学。为保障项目顺利实施，实施单位成立了专项工作小组，小组下设实施组、研发组、质量保证组、配置组、运维组、管理组和应用推广组，各组分工明确，配合密切。每月小组均会召开一次工作沟通协调会，对当月工作进行总结并作下月工作部署。</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从评价情况看，组织机构设置基本符合规定，人员配备较为合理，能确保项目的有效实施。</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本项指标设定分值2分，经综合评价，指标得分2分。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（2）制度建立</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项目主管部门和实施单位在实际管理过程中严格按照国家和市级的相关制度规定执行，</w:t>
      </w:r>
      <w:bookmarkStart w:id="58" w:name="_Hlk44320409"/>
      <w:r>
        <w:rPr>
          <w:rFonts w:hint="eastAsia" w:hAnsi="仿宋" w:cs="Times New Roman"/>
          <w:szCs w:val="30"/>
          <w:highlight w:val="none"/>
          <w:lang w:val="en-US" w:eastAsia="zh-CN"/>
        </w:rPr>
        <w:t>同时还根据本项目的特点结合自身情况单独制定了相应的管理制度、实施方案、安全守则、业务操作流程等。</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评价认为，项目业务管理制度健全，且相关制度合法、合规、完整。</w:t>
      </w:r>
    </w:p>
    <w:bookmarkEnd w:id="58"/>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本项指标设定分值1分，经综合评价，指标得分1分。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（3）制度执行有效性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根据区经信委和实施单位提供的相关资料，结合项目评价小组现场调研结果，评价认为该项目设备、软件采购等手续较为完善，符合相关程序规定；项目选取的合作单位均通过合法合规的程序进行选择，同时在实施过程中均安排专人按上级部门相关规定对其实施过程进行监管；项目完工后按要求进行竣工验收，办理相关结算手续；项目立项、实施过程、验收及成效材料归档齐全。项目实施过程制度执行有效性整体情况较好，但项目管理无法有效保障部分材料数据的准确性，监管力度待加强，具体原因为：审查比对项目验收报告（2019年12月出具）、《工业转型升级、制造业高质量发展资金实施单位项目中期检查报告》（2020年7月上报）、《重庆平伟实业股份有限公司智能制造发展情况》（2021年11月上报）、《关于提供十三五智能制造发展情况总结材料的函－平伟实业智能车间》发现，上述文件中主要考核指标的数据完全一致，如生产效率均提升为28.50%、产品研制周期均缩短40.70%。询问平伟公司相关管理人员得知，上述文件中主要考核指标数据均来源于2019年项目验收报告，并未按市经信委要求的数据周期填写相关数据和内容。实施单位填报数据时未按要求进行，导致上报材料数据不准确，相关部门监管力度有待提升。</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本项指标设定分值5分，经综合评价，指标得分4分。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（4）项目质量可控性</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项目主管部门和实施单位为确保完成自主可控功率半导体离散型智能制造车间建设项目建设任务，把控项目实施质量，严格按照国家、市级和区级有关规定，除聘请专家咨询委员会对项目实施过程进行监管外，设备物资采购过程中还严格要求各供货单位提供相关质量检测合格证书及有效证明，各项工作任务完成及时进行验收。此外，实施单位还制定了项目推广应用计划：建立推广应用组、建立客户资源信息库、制定每月走访客户计划、举办相关技术培训班等，保障项目产出产品合格率并提高客户满意度。</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评价认为，为严格把控本项目质量关，相关单位采取了一系列必要的措施，包括质量监督、质量检查、项目验收等，项目质量控制情况较好。</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bookmarkStart w:id="59" w:name="_Toc45550625"/>
      <w:r>
        <w:rPr>
          <w:rFonts w:hint="eastAsia" w:hAnsi="仿宋" w:cs="Times New Roman"/>
          <w:szCs w:val="30"/>
          <w:highlight w:val="none"/>
          <w:lang w:val="en-US" w:eastAsia="zh-CN"/>
        </w:rPr>
        <w:t>本项指标设定分值2分，经综合评价，指标得分2分。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60" w:name="_Toc19678"/>
      <w:r>
        <w:rPr>
          <w:rFonts w:hint="eastAsia" w:ascii="楷体" w:hAnsi="楷体" w:eastAsia="楷体"/>
          <w:szCs w:val="30"/>
          <w:highlight w:val="none"/>
          <w:shd w:val="clear" w:color="auto" w:fill="FFFFFF" w:themeFill="background1"/>
        </w:rPr>
        <w:t>（三）项目产出</w:t>
      </w:r>
      <w:bookmarkEnd w:id="59"/>
      <w:bookmarkEnd w:id="60"/>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1.目标任务实际完成率</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根据平伟公司提供的项目任务书、竣工验收报告，本项目各项指标目标任务实际完成率均大于100%，具体情况如下表所示：</w:t>
      </w:r>
    </w:p>
    <w:tbl>
      <w:tblPr>
        <w:tblStyle w:val="25"/>
        <w:tblW w:w="884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57"/>
        <w:gridCol w:w="1800"/>
        <w:gridCol w:w="1750"/>
        <w:gridCol w:w="2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8844" w:type="dxa"/>
            <w:gridSpan w:val="4"/>
            <w:tcBorders>
              <w:top w:val="nil"/>
              <w:left w:val="nil"/>
              <w:bottom w:val="single" w:color="auto"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kern w:val="0"/>
                <w:sz w:val="22"/>
                <w:szCs w:val="22"/>
                <w:u w:val="none"/>
                <w:lang w:val="en-US" w:eastAsia="zh-CN" w:bidi="ar"/>
              </w:rPr>
            </w:pPr>
            <w:r>
              <w:rPr>
                <w:rFonts w:hint="eastAsia" w:hAnsi="仿宋" w:cs="仿宋"/>
                <w:b/>
                <w:bCs/>
                <w:i w:val="0"/>
                <w:iCs w:val="0"/>
                <w:color w:val="000000"/>
                <w:kern w:val="0"/>
                <w:sz w:val="22"/>
                <w:szCs w:val="22"/>
                <w:u w:val="none"/>
                <w:lang w:val="en-US" w:eastAsia="zh-CN" w:bidi="ar"/>
              </w:rPr>
              <w:t>表2：自主可控功率半导体离散型智能制造车间建设项目目标任务完成</w:t>
            </w:r>
            <w:r>
              <w:rPr>
                <w:rFonts w:hint="eastAsia" w:ascii="仿宋" w:hAnsi="仿宋" w:eastAsia="仿宋" w:cs="仿宋"/>
                <w:b/>
                <w:bCs/>
                <w:i w:val="0"/>
                <w:iCs w:val="0"/>
                <w:color w:val="000000"/>
                <w:kern w:val="0"/>
                <w:sz w:val="22"/>
                <w:szCs w:val="22"/>
                <w:u w:val="none"/>
                <w:lang w:val="en-US" w:eastAsia="zh-CN" w:bidi="ar"/>
              </w:rPr>
              <w:t>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指标</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计划完成情况</w:t>
            </w:r>
          </w:p>
        </w:tc>
        <w:tc>
          <w:tcPr>
            <w:tcW w:w="1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验收时实际完成情况</w:t>
            </w:r>
          </w:p>
        </w:tc>
        <w:tc>
          <w:tcPr>
            <w:tcW w:w="25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kern w:val="0"/>
                <w:sz w:val="22"/>
                <w:szCs w:val="22"/>
                <w:u w:val="none"/>
                <w:lang w:val="en-US" w:eastAsia="zh-CN" w:bidi="ar"/>
              </w:rPr>
            </w:pPr>
            <w:r>
              <w:rPr>
                <w:rFonts w:hint="eastAsia" w:hAnsi="仿宋" w:cs="仿宋"/>
                <w:b/>
                <w:bCs/>
                <w:i w:val="0"/>
                <w:iCs w:val="0"/>
                <w:color w:val="000000"/>
                <w:kern w:val="0"/>
                <w:sz w:val="22"/>
                <w:szCs w:val="22"/>
                <w:u w:val="none"/>
                <w:lang w:val="en-US" w:eastAsia="zh-CN" w:bidi="ar"/>
              </w:rPr>
              <w:t>目标任务实际完成率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生产效率提升率</w:t>
            </w:r>
          </w:p>
        </w:tc>
        <w:tc>
          <w:tcPr>
            <w:tcW w:w="18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25.00%</w:t>
            </w:r>
          </w:p>
        </w:tc>
        <w:tc>
          <w:tcPr>
            <w:tcW w:w="17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28.50%</w:t>
            </w:r>
          </w:p>
        </w:tc>
        <w:tc>
          <w:tcPr>
            <w:tcW w:w="2537"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运营成本降低率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20.00%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34.70%</w:t>
            </w:r>
          </w:p>
        </w:tc>
        <w:tc>
          <w:tcPr>
            <w:tcW w:w="2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173.50%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产品研制周期缩减率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30.00%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40.70%</w:t>
            </w:r>
          </w:p>
        </w:tc>
        <w:tc>
          <w:tcPr>
            <w:tcW w:w="2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135.67%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不良品降低率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25.00%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30.60%</w:t>
            </w:r>
          </w:p>
        </w:tc>
        <w:tc>
          <w:tcPr>
            <w:tcW w:w="2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122.40%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能源利用提高率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15.00%</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19.40%</w:t>
            </w:r>
          </w:p>
        </w:tc>
        <w:tc>
          <w:tcPr>
            <w:tcW w:w="2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129.33%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专利、软件著作权、标准</w:t>
            </w:r>
            <w:r>
              <w:rPr>
                <w:rFonts w:hint="eastAsia" w:hAnsi="仿宋" w:cs="仿宋"/>
                <w:i w:val="0"/>
                <w:iCs w:val="0"/>
                <w:color w:val="000000"/>
                <w:kern w:val="0"/>
                <w:sz w:val="22"/>
                <w:szCs w:val="22"/>
                <w:highlight w:val="none"/>
                <w:u w:val="none"/>
                <w:lang w:val="en-US" w:eastAsia="zh-CN" w:bidi="ar"/>
              </w:rPr>
              <w:t>草案</w:t>
            </w:r>
            <w:r>
              <w:rPr>
                <w:rFonts w:hint="eastAsia" w:ascii="仿宋" w:hAnsi="仿宋" w:eastAsia="仿宋" w:cs="仿宋"/>
                <w:i w:val="0"/>
                <w:iCs w:val="0"/>
                <w:color w:val="000000"/>
                <w:kern w:val="0"/>
                <w:sz w:val="22"/>
                <w:szCs w:val="22"/>
                <w:highlight w:val="none"/>
                <w:u w:val="none"/>
                <w:lang w:val="en-US" w:eastAsia="zh-CN" w:bidi="ar"/>
              </w:rPr>
              <w:t>持有数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分别持有2项、3项、3项</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分别持有6项、4项、4项</w:t>
            </w:r>
          </w:p>
        </w:tc>
        <w:tc>
          <w:tcPr>
            <w:tcW w:w="2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188.89%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hAnsi="仿宋" w:cs="仿宋"/>
                <w:i w:val="0"/>
                <w:iCs w:val="0"/>
                <w:color w:val="000000"/>
                <w:kern w:val="0"/>
                <w:sz w:val="22"/>
                <w:szCs w:val="22"/>
                <w:highlight w:val="none"/>
                <w:u w:val="none"/>
                <w:lang w:val="en-US" w:eastAsia="zh-CN" w:bidi="ar"/>
              </w:rPr>
              <w:t>技术指标</w:t>
            </w:r>
            <w:r>
              <w:rPr>
                <w:rFonts w:hint="eastAsia" w:ascii="仿宋" w:hAnsi="仿宋" w:eastAsia="仿宋" w:cs="仿宋"/>
                <w:i w:val="0"/>
                <w:iCs w:val="0"/>
                <w:color w:val="000000"/>
                <w:kern w:val="0"/>
                <w:sz w:val="22"/>
                <w:szCs w:val="22"/>
                <w:highlight w:val="none"/>
                <w:u w:val="none"/>
                <w:lang w:val="en-US" w:eastAsia="zh-CN" w:bidi="ar"/>
              </w:rPr>
              <w:t>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2项</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4项</w:t>
            </w:r>
          </w:p>
        </w:tc>
        <w:tc>
          <w:tcPr>
            <w:tcW w:w="2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i w:val="0"/>
                <w:iCs w:val="0"/>
                <w:color w:val="000000"/>
                <w:kern w:val="0"/>
                <w:sz w:val="22"/>
                <w:szCs w:val="22"/>
                <w:highlight w:val="none"/>
                <w:u w:val="none"/>
                <w:lang w:val="en-US" w:eastAsia="zh-CN" w:bidi="ar"/>
              </w:rPr>
            </w:pPr>
            <w:r>
              <w:rPr>
                <w:rFonts w:hint="eastAsia" w:hAnsi="仿宋" w:cs="仿宋"/>
                <w:i w:val="0"/>
                <w:iCs w:val="0"/>
                <w:color w:val="000000"/>
                <w:kern w:val="0"/>
                <w:sz w:val="22"/>
                <w:szCs w:val="22"/>
                <w:highlight w:val="none"/>
                <w:u w:val="none"/>
                <w:lang w:val="en-US" w:eastAsia="zh-CN" w:bidi="ar"/>
              </w:rPr>
              <w:t>安全可控核心智能制造装备数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2种</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31种</w:t>
            </w:r>
          </w:p>
        </w:tc>
        <w:tc>
          <w:tcPr>
            <w:tcW w:w="2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1550.00%</w:t>
            </w:r>
          </w:p>
        </w:tc>
      </w:tr>
    </w:tbl>
    <w:p>
      <w:pPr>
        <w:spacing w:line="600" w:lineRule="exact"/>
        <w:ind w:firstLine="630" w:firstLineChars="200"/>
        <w:jc w:val="both"/>
        <w:rPr>
          <w:rFonts w:hint="default" w:hAnsi="仿宋" w:cs="Times New Roman"/>
          <w:szCs w:val="30"/>
          <w:highlight w:val="none"/>
          <w:lang w:val="en-US" w:eastAsia="zh-CN"/>
        </w:rPr>
      </w:pPr>
      <w:r>
        <w:rPr>
          <w:rFonts w:hint="eastAsia" w:hAnsi="仿宋" w:cs="Times New Roman"/>
          <w:szCs w:val="30"/>
          <w:highlight w:val="none"/>
          <w:lang w:val="en-US" w:eastAsia="zh-CN"/>
        </w:rPr>
        <w:t>此外，根据智能制造车间经济产能报告，2020年、2021年生产效率提升率、运营成本降低率、产品研制周期缩减率、不良品降低率、能源利用提高率的目标完成率也均大于100%，项目产出情况良好。具体情况如下：</w:t>
      </w:r>
    </w:p>
    <w:tbl>
      <w:tblPr>
        <w:tblStyle w:val="25"/>
        <w:tblW w:w="8969"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89"/>
        <w:gridCol w:w="1051"/>
        <w:gridCol w:w="1253"/>
        <w:gridCol w:w="1530"/>
        <w:gridCol w:w="1320"/>
        <w:gridCol w:w="14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8969" w:type="dxa"/>
            <w:gridSpan w:val="6"/>
            <w:tcBorders>
              <w:top w:val="nil"/>
              <w:left w:val="nil"/>
              <w:bottom w:val="single" w:color="auto"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kern w:val="0"/>
                <w:sz w:val="22"/>
                <w:szCs w:val="22"/>
                <w:u w:val="none"/>
                <w:lang w:val="en-US" w:eastAsia="zh-CN" w:bidi="ar"/>
              </w:rPr>
            </w:pPr>
            <w:r>
              <w:rPr>
                <w:rFonts w:hint="eastAsia" w:hAnsi="仿宋" w:cs="仿宋"/>
                <w:b/>
                <w:bCs/>
                <w:i w:val="0"/>
                <w:iCs w:val="0"/>
                <w:color w:val="000000"/>
                <w:kern w:val="0"/>
                <w:sz w:val="22"/>
                <w:szCs w:val="22"/>
                <w:u w:val="none"/>
                <w:lang w:val="en-US" w:eastAsia="zh-CN" w:bidi="ar"/>
              </w:rPr>
              <w:t>表3：自主可控功率半导体离散型智能制造车间建设项目部分指标</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val="0"/>
                <w:bCs w:val="0"/>
                <w:i w:val="0"/>
                <w:iCs w:val="0"/>
                <w:color w:val="000000"/>
                <w:sz w:val="22"/>
                <w:szCs w:val="22"/>
                <w:u w:val="none"/>
                <w:lang w:val="en-US" w:eastAsia="zh-CN"/>
              </w:rPr>
            </w:pPr>
            <w:r>
              <w:rPr>
                <w:rFonts w:hint="eastAsia" w:hAnsi="仿宋" w:cs="仿宋"/>
                <w:b/>
                <w:bCs/>
                <w:i w:val="0"/>
                <w:iCs w:val="0"/>
                <w:color w:val="000000"/>
                <w:kern w:val="0"/>
                <w:sz w:val="22"/>
                <w:szCs w:val="22"/>
                <w:u w:val="none"/>
                <w:lang w:val="en-US" w:eastAsia="zh-CN" w:bidi="ar"/>
              </w:rPr>
              <w:t>2020-2021年目标任务完成</w:t>
            </w:r>
            <w:r>
              <w:rPr>
                <w:rFonts w:hint="eastAsia" w:ascii="仿宋" w:hAnsi="仿宋" w:eastAsia="仿宋" w:cs="仿宋"/>
                <w:b/>
                <w:bCs/>
                <w:i w:val="0"/>
                <w:iCs w:val="0"/>
                <w:color w:val="000000"/>
                <w:kern w:val="0"/>
                <w:sz w:val="22"/>
                <w:szCs w:val="22"/>
                <w:u w:val="none"/>
                <w:lang w:val="en-US" w:eastAsia="zh-CN" w:bidi="ar"/>
              </w:rPr>
              <w:t>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389"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指标</w:t>
            </w:r>
          </w:p>
        </w:tc>
        <w:tc>
          <w:tcPr>
            <w:tcW w:w="1051" w:type="dxa"/>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计划完成情况</w:t>
            </w:r>
          </w:p>
        </w:tc>
        <w:tc>
          <w:tcPr>
            <w:tcW w:w="27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2020年</w:t>
            </w:r>
          </w:p>
        </w:tc>
        <w:tc>
          <w:tcPr>
            <w:tcW w:w="27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2021年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389" w:type="dxa"/>
            <w:vMerge w:val="continue"/>
            <w:tcBorders>
              <w:top w:val="single" w:color="auto"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pPr>
          </w:p>
        </w:tc>
        <w:tc>
          <w:tcPr>
            <w:tcW w:w="1051" w:type="dxa"/>
            <w:vMerge w:val="continue"/>
            <w:tcBorders>
              <w:top w:val="single" w:color="auto"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pPr>
          </w:p>
        </w:tc>
        <w:tc>
          <w:tcPr>
            <w:tcW w:w="1253" w:type="dxa"/>
            <w:tcBorders>
              <w:top w:val="single" w:color="auto" w:sz="4" w:space="0"/>
              <w:left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实际完成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情况</w:t>
            </w:r>
          </w:p>
        </w:tc>
        <w:tc>
          <w:tcPr>
            <w:tcW w:w="1530" w:type="dxa"/>
            <w:tcBorders>
              <w:top w:val="single" w:color="auto" w:sz="4" w:space="0"/>
              <w:left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kern w:val="0"/>
                <w:sz w:val="22"/>
                <w:szCs w:val="22"/>
                <w:u w:val="none"/>
                <w:lang w:val="en-US" w:eastAsia="zh-CN" w:bidi="ar"/>
              </w:rPr>
            </w:pPr>
            <w:r>
              <w:rPr>
                <w:rFonts w:hint="eastAsia" w:hAnsi="仿宋" w:cs="仿宋"/>
                <w:b/>
                <w:bCs/>
                <w:i w:val="0"/>
                <w:iCs w:val="0"/>
                <w:color w:val="000000"/>
                <w:kern w:val="0"/>
                <w:sz w:val="22"/>
                <w:szCs w:val="22"/>
                <w:u w:val="none"/>
                <w:lang w:val="en-US" w:eastAsia="zh-CN" w:bidi="ar"/>
              </w:rPr>
              <w:t>目标任务</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kern w:val="0"/>
                <w:sz w:val="22"/>
                <w:szCs w:val="22"/>
                <w:u w:val="none"/>
                <w:lang w:val="en-US" w:eastAsia="zh-CN" w:bidi="ar"/>
              </w:rPr>
              <w:t>实际完成率</w:t>
            </w:r>
          </w:p>
        </w:tc>
        <w:tc>
          <w:tcPr>
            <w:tcW w:w="1320"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实际完成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sz w:val="22"/>
                <w:szCs w:val="22"/>
                <w:u w:val="none"/>
                <w:lang w:val="en-US" w:eastAsia="zh-CN"/>
              </w:rPr>
              <w:t>情况</w:t>
            </w:r>
          </w:p>
        </w:tc>
        <w:tc>
          <w:tcPr>
            <w:tcW w:w="142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kern w:val="0"/>
                <w:sz w:val="22"/>
                <w:szCs w:val="22"/>
                <w:u w:val="none"/>
                <w:lang w:val="en-US" w:eastAsia="zh-CN" w:bidi="ar"/>
              </w:rPr>
            </w:pPr>
            <w:r>
              <w:rPr>
                <w:rFonts w:hint="eastAsia" w:hAnsi="仿宋" w:cs="仿宋"/>
                <w:b/>
                <w:bCs/>
                <w:i w:val="0"/>
                <w:iCs w:val="0"/>
                <w:color w:val="000000"/>
                <w:kern w:val="0"/>
                <w:sz w:val="22"/>
                <w:szCs w:val="22"/>
                <w:u w:val="none"/>
                <w:lang w:val="en-US" w:eastAsia="zh-CN" w:bidi="ar"/>
              </w:rPr>
              <w:t>目标任务</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b/>
                <w:bCs/>
                <w:i w:val="0"/>
                <w:iCs w:val="0"/>
                <w:color w:val="000000"/>
                <w:sz w:val="22"/>
                <w:szCs w:val="22"/>
                <w:u w:val="none"/>
                <w:lang w:val="en-US" w:eastAsia="zh-CN"/>
              </w:rPr>
            </w:pPr>
            <w:r>
              <w:rPr>
                <w:rFonts w:hint="eastAsia" w:hAnsi="仿宋" w:cs="仿宋"/>
                <w:b/>
                <w:bCs/>
                <w:i w:val="0"/>
                <w:iCs w:val="0"/>
                <w:color w:val="000000"/>
                <w:kern w:val="0"/>
                <w:sz w:val="22"/>
                <w:szCs w:val="22"/>
                <w:u w:val="none"/>
                <w:lang w:val="en-US" w:eastAsia="zh-CN" w:bidi="ar"/>
              </w:rPr>
              <w:t>实际完成率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生产效率提升率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25.00%</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3</w:t>
            </w:r>
            <w:r>
              <w:rPr>
                <w:rFonts w:hint="default" w:hAnsi="仿宋" w:cs="仿宋"/>
                <w:i w:val="0"/>
                <w:iCs w:val="0"/>
                <w:color w:val="000000"/>
                <w:sz w:val="22"/>
                <w:szCs w:val="22"/>
                <w:u w:val="none"/>
                <w:lang w:val="en-US" w:eastAsia="zh-CN"/>
              </w:rPr>
              <w:t>5</w:t>
            </w:r>
            <w:r>
              <w:rPr>
                <w:rFonts w:hint="eastAsia" w:hAnsi="仿宋" w:cs="仿宋"/>
                <w:i w:val="0"/>
                <w:iCs w:val="0"/>
                <w:color w:val="000000"/>
                <w:sz w:val="22"/>
                <w:szCs w:val="22"/>
                <w:u w:val="none"/>
                <w:lang w:val="en-US" w:eastAsia="zh-CN"/>
              </w:rPr>
              <w:t>.</w:t>
            </w:r>
            <w:r>
              <w:rPr>
                <w:rFonts w:hint="default" w:hAnsi="仿宋" w:cs="仿宋"/>
                <w:i w:val="0"/>
                <w:iCs w:val="0"/>
                <w:color w:val="000000"/>
                <w:sz w:val="22"/>
                <w:szCs w:val="22"/>
                <w:u w:val="none"/>
                <w:lang w:val="en-US" w:eastAsia="zh-CN"/>
              </w:rPr>
              <w:t>1</w:t>
            </w:r>
            <w:r>
              <w:rPr>
                <w:rFonts w:hint="eastAsia" w:hAnsi="仿宋" w:cs="仿宋"/>
                <w:i w:val="0"/>
                <w:iCs w:val="0"/>
                <w:color w:val="000000"/>
                <w:sz w:val="22"/>
                <w:szCs w:val="22"/>
                <w:u w:val="none"/>
                <w:lang w:val="en-US" w:eastAsia="zh-CN"/>
              </w:rPr>
              <w:t>0%</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140.40%</w:t>
            </w:r>
          </w:p>
        </w:tc>
        <w:tc>
          <w:tcPr>
            <w:tcW w:w="132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65.90%</w:t>
            </w:r>
          </w:p>
        </w:tc>
        <w:tc>
          <w:tcPr>
            <w:tcW w:w="142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263.60%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运营成本降低率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20.00%</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i w:val="0"/>
                <w:iCs w:val="0"/>
                <w:color w:val="000000"/>
                <w:sz w:val="22"/>
                <w:szCs w:val="22"/>
                <w:u w:val="none"/>
                <w:lang w:val="en-US" w:eastAsia="zh-CN"/>
              </w:rPr>
            </w:pPr>
            <w:r>
              <w:rPr>
                <w:rFonts w:hint="default" w:hAnsi="仿宋" w:cs="仿宋"/>
                <w:i w:val="0"/>
                <w:iCs w:val="0"/>
                <w:color w:val="000000"/>
                <w:sz w:val="22"/>
                <w:szCs w:val="22"/>
                <w:u w:val="none"/>
                <w:lang w:val="en-US" w:eastAsia="zh-CN"/>
              </w:rPr>
              <w:t>37.9</w:t>
            </w:r>
            <w:r>
              <w:rPr>
                <w:rFonts w:hint="eastAsia" w:hAnsi="仿宋" w:cs="仿宋"/>
                <w:i w:val="0"/>
                <w:iCs w:val="0"/>
                <w:color w:val="000000"/>
                <w:sz w:val="22"/>
                <w:szCs w:val="22"/>
                <w:u w:val="none"/>
                <w:lang w:val="en-US" w:eastAsia="zh-CN"/>
              </w:rPr>
              <w:t>0%</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189.50%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40.20%</w:t>
            </w:r>
          </w:p>
        </w:tc>
        <w:tc>
          <w:tcPr>
            <w:tcW w:w="1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200.50%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产品研制周期缩减率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30.00%</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u w:val="none"/>
                <w:lang w:val="en-US" w:eastAsia="zh-CN"/>
              </w:rPr>
            </w:pPr>
            <w:r>
              <w:rPr>
                <w:rFonts w:hint="default" w:hAnsi="仿宋" w:cs="仿宋"/>
                <w:i w:val="0"/>
                <w:iCs w:val="0"/>
                <w:color w:val="000000"/>
                <w:sz w:val="22"/>
                <w:szCs w:val="22"/>
                <w:u w:val="none"/>
                <w:lang w:val="en-US" w:eastAsia="zh-CN"/>
              </w:rPr>
              <w:t>3</w:t>
            </w:r>
            <w:r>
              <w:rPr>
                <w:rFonts w:hint="eastAsia" w:hAnsi="仿宋" w:cs="仿宋"/>
                <w:i w:val="0"/>
                <w:iCs w:val="0"/>
                <w:color w:val="000000"/>
                <w:sz w:val="22"/>
                <w:szCs w:val="22"/>
                <w:u w:val="none"/>
                <w:lang w:val="en-US" w:eastAsia="zh-CN"/>
              </w:rPr>
              <w:t>9</w:t>
            </w:r>
            <w:r>
              <w:rPr>
                <w:rFonts w:hint="default" w:hAnsi="仿宋" w:cs="仿宋"/>
                <w:i w:val="0"/>
                <w:iCs w:val="0"/>
                <w:color w:val="000000"/>
                <w:sz w:val="22"/>
                <w:szCs w:val="22"/>
                <w:u w:val="none"/>
                <w:lang w:val="en-US" w:eastAsia="zh-CN"/>
              </w:rPr>
              <w:t>.</w:t>
            </w:r>
            <w:r>
              <w:rPr>
                <w:rFonts w:hint="eastAsia" w:hAnsi="仿宋" w:cs="仿宋"/>
                <w:i w:val="0"/>
                <w:iCs w:val="0"/>
                <w:color w:val="000000"/>
                <w:sz w:val="22"/>
                <w:szCs w:val="22"/>
                <w:u w:val="none"/>
                <w:lang w:val="en-US" w:eastAsia="zh-CN"/>
              </w:rPr>
              <w:t>20%</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130.67%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3</w:t>
            </w:r>
            <w:r>
              <w:rPr>
                <w:rFonts w:hint="default" w:hAnsi="仿宋" w:cs="仿宋"/>
                <w:i w:val="0"/>
                <w:iCs w:val="0"/>
                <w:color w:val="000000"/>
                <w:sz w:val="22"/>
                <w:szCs w:val="22"/>
                <w:highlight w:val="none"/>
                <w:u w:val="none"/>
                <w:lang w:val="en-US" w:eastAsia="zh-CN"/>
              </w:rPr>
              <w:t>7</w:t>
            </w:r>
            <w:r>
              <w:rPr>
                <w:rFonts w:hint="eastAsia" w:hAnsi="仿宋" w:cs="仿宋"/>
                <w:i w:val="0"/>
                <w:iCs w:val="0"/>
                <w:color w:val="000000"/>
                <w:sz w:val="22"/>
                <w:szCs w:val="22"/>
                <w:highlight w:val="none"/>
                <w:u w:val="none"/>
                <w:lang w:val="en-US" w:eastAsia="zh-CN"/>
              </w:rPr>
              <w:t>.</w:t>
            </w:r>
            <w:r>
              <w:rPr>
                <w:rFonts w:hint="default" w:hAnsi="仿宋" w:cs="仿宋"/>
                <w:i w:val="0"/>
                <w:iCs w:val="0"/>
                <w:color w:val="000000"/>
                <w:sz w:val="22"/>
                <w:szCs w:val="22"/>
                <w:highlight w:val="none"/>
                <w:u w:val="none"/>
                <w:lang w:val="en-US" w:eastAsia="zh-CN"/>
              </w:rPr>
              <w:t>8</w:t>
            </w:r>
            <w:r>
              <w:rPr>
                <w:rFonts w:hint="eastAsia" w:hAnsi="仿宋" w:cs="仿宋"/>
                <w:i w:val="0"/>
                <w:iCs w:val="0"/>
                <w:color w:val="000000"/>
                <w:sz w:val="22"/>
                <w:szCs w:val="22"/>
                <w:highlight w:val="none"/>
                <w:u w:val="none"/>
                <w:lang w:val="en-US" w:eastAsia="zh-CN"/>
              </w:rPr>
              <w:t>0%</w:t>
            </w:r>
          </w:p>
        </w:tc>
        <w:tc>
          <w:tcPr>
            <w:tcW w:w="1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不良品降低率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25.00%</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u w:val="none"/>
                <w:lang w:val="en-US" w:eastAsia="zh-CN"/>
              </w:rPr>
            </w:pPr>
            <w:r>
              <w:rPr>
                <w:rFonts w:hint="default" w:hAnsi="仿宋" w:cs="仿宋"/>
                <w:i w:val="0"/>
                <w:iCs w:val="0"/>
                <w:color w:val="000000"/>
                <w:sz w:val="22"/>
                <w:szCs w:val="22"/>
                <w:u w:val="none"/>
                <w:lang w:val="en-US" w:eastAsia="zh-CN"/>
              </w:rPr>
              <w:t>34.1</w:t>
            </w:r>
            <w:r>
              <w:rPr>
                <w:rFonts w:hint="eastAsia" w:hAnsi="仿宋" w:cs="仿宋"/>
                <w:i w:val="0"/>
                <w:iCs w:val="0"/>
                <w:color w:val="000000"/>
                <w:sz w:val="22"/>
                <w:szCs w:val="22"/>
                <w:u w:val="none"/>
                <w:lang w:val="en-US" w:eastAsia="zh-CN"/>
              </w:rPr>
              <w:t>0%</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136.40%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26.60%</w:t>
            </w:r>
          </w:p>
        </w:tc>
        <w:tc>
          <w:tcPr>
            <w:tcW w:w="1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106.40%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3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能源利用提高率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sz w:val="22"/>
                <w:szCs w:val="22"/>
                <w:u w:val="none"/>
                <w:lang w:val="en-US" w:eastAsia="zh-CN"/>
              </w:rPr>
            </w:pPr>
            <w:r>
              <w:rPr>
                <w:rFonts w:hint="eastAsia" w:hAnsi="仿宋" w:cs="仿宋"/>
                <w:i w:val="0"/>
                <w:iCs w:val="0"/>
                <w:color w:val="000000"/>
                <w:sz w:val="22"/>
                <w:szCs w:val="22"/>
                <w:u w:val="none"/>
                <w:lang w:val="en-US" w:eastAsia="zh-CN"/>
              </w:rPr>
              <w:t>15.00%</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hAnsi="仿宋" w:cs="仿宋"/>
                <w:i w:val="0"/>
                <w:iCs w:val="0"/>
                <w:color w:val="000000"/>
                <w:sz w:val="22"/>
                <w:szCs w:val="22"/>
                <w:u w:val="none"/>
                <w:lang w:val="en-US" w:eastAsia="zh-CN"/>
              </w:rPr>
            </w:pPr>
            <w:r>
              <w:rPr>
                <w:rFonts w:hint="default" w:hAnsi="仿宋" w:cs="仿宋"/>
                <w:i w:val="0"/>
                <w:iCs w:val="0"/>
                <w:color w:val="000000"/>
                <w:sz w:val="22"/>
                <w:szCs w:val="22"/>
                <w:u w:val="none"/>
                <w:lang w:val="en-US" w:eastAsia="zh-CN"/>
              </w:rPr>
              <w:t>24.0</w:t>
            </w:r>
            <w:r>
              <w:rPr>
                <w:rFonts w:hint="eastAsia" w:hAnsi="仿宋" w:cs="仿宋"/>
                <w:i w:val="0"/>
                <w:iCs w:val="0"/>
                <w:color w:val="000000"/>
                <w:sz w:val="22"/>
                <w:szCs w:val="22"/>
                <w:u w:val="none"/>
                <w:lang w:val="en-US" w:eastAsia="zh-CN"/>
              </w:rPr>
              <w:t>0%</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eastAsia" w:hAnsi="仿宋" w:cs="仿宋"/>
                <w:i w:val="0"/>
                <w:iCs w:val="0"/>
                <w:color w:val="000000"/>
                <w:sz w:val="22"/>
                <w:szCs w:val="22"/>
                <w:highlight w:val="none"/>
                <w:u w:val="none"/>
                <w:lang w:val="en-US" w:eastAsia="zh-CN"/>
              </w:rPr>
              <w:t>160.00%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hAnsi="仿宋" w:cs="仿宋"/>
                <w:i w:val="0"/>
                <w:iCs w:val="0"/>
                <w:color w:val="000000"/>
                <w:sz w:val="22"/>
                <w:szCs w:val="22"/>
                <w:highlight w:val="none"/>
                <w:u w:val="none"/>
                <w:lang w:val="en-US" w:eastAsia="zh-CN"/>
              </w:rPr>
            </w:pPr>
            <w:r>
              <w:rPr>
                <w:rFonts w:hint="default" w:hAnsi="仿宋" w:cs="仿宋"/>
                <w:i w:val="0"/>
                <w:iCs w:val="0"/>
                <w:color w:val="000000"/>
                <w:sz w:val="22"/>
                <w:szCs w:val="22"/>
                <w:highlight w:val="none"/>
                <w:u w:val="none"/>
                <w:lang w:val="en-US" w:eastAsia="zh-CN"/>
              </w:rPr>
              <w:t>21.3</w:t>
            </w:r>
            <w:r>
              <w:rPr>
                <w:rFonts w:hint="eastAsia" w:hAnsi="仿宋" w:cs="仿宋"/>
                <w:i w:val="0"/>
                <w:iCs w:val="0"/>
                <w:color w:val="000000"/>
                <w:sz w:val="22"/>
                <w:szCs w:val="22"/>
                <w:highlight w:val="none"/>
                <w:u w:val="none"/>
                <w:lang w:val="en-US" w:eastAsia="zh-CN"/>
              </w:rPr>
              <w:t>0%</w:t>
            </w:r>
          </w:p>
        </w:tc>
        <w:tc>
          <w:tcPr>
            <w:tcW w:w="1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hAnsi="仿宋" w:cs="仿宋"/>
                <w:i w:val="0"/>
                <w:iCs w:val="0"/>
                <w:color w:val="000000"/>
                <w:kern w:val="0"/>
                <w:sz w:val="22"/>
                <w:szCs w:val="22"/>
                <w:u w:val="none"/>
                <w:lang w:val="en-US" w:eastAsia="zh-CN" w:bidi="ar"/>
              </w:rPr>
              <w:t>142.00%</w:t>
            </w:r>
          </w:p>
        </w:tc>
      </w:tr>
    </w:tbl>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本项指标设定分值8分，经综合评价，指标得分8分。</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2.质量达标率</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根据平伟公司提供的《自主可控功率半导体离散型智能制造车间建设自查报告》、项目验收报告、项目质量监管记录，未发现重大质量事故及监管不到位的情况。同时，评价小组实地走访过程中也未发现设备存在质量问题，实时生产效率、不良品率均在目标线以上，项目总体完成质量较好。</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本项指标设定分值8分，经综合评价，指标得分8分。</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3.完成及时率</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本项目计划完成时间为2019年12月。根据竣工验收报告显示，项目实际完成时间为2019年12月，实施内容均在规定时间范围内如期完成，不存在延期完工的情况。项目整体完成及时率较好为100.00%。</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本项指标设定分值7分，经综合评价，指标得分7分。</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4.成本节约率</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自主可控功率半导体离散型智能制造车间建设项目计划投资成本21,215.19万元，根据平伟公司所提供的《“2017年智能制造综合标准化与新模式应用项目”经费决算报告》显示，项目实际投资成本21,215.19万元，即项目成本节约率为0.00。</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本项指标设定分值7分，经综合评价，指标得分5分。</w:t>
      </w:r>
    </w:p>
    <w:p>
      <w:pPr>
        <w:spacing w:line="600" w:lineRule="exact"/>
        <w:ind w:firstLine="630" w:firstLineChars="200"/>
        <w:outlineLvl w:val="1"/>
        <w:rPr>
          <w:rFonts w:ascii="楷体" w:hAnsi="楷体" w:eastAsia="楷体"/>
          <w:szCs w:val="30"/>
          <w:highlight w:val="none"/>
          <w:shd w:val="clear" w:color="auto" w:fill="FFFFFF" w:themeFill="background1"/>
        </w:rPr>
      </w:pPr>
      <w:bookmarkStart w:id="61" w:name="_Toc21381"/>
      <w:r>
        <w:rPr>
          <w:rFonts w:hint="eastAsia" w:ascii="楷体" w:hAnsi="楷体" w:eastAsia="楷体"/>
          <w:szCs w:val="30"/>
          <w:highlight w:val="none"/>
          <w:shd w:val="clear" w:color="auto" w:fill="FFFFFF" w:themeFill="background1"/>
        </w:rPr>
        <w:t>（四）项目效益</w:t>
      </w:r>
      <w:bookmarkEnd w:id="61"/>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根据评价小组实地采访调研所搜集到的资料显示，项目整体完成效果较好，主要体现在以下方面：</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1.社会效益</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（1）促进智能制造新模式在功率半导体制造企业运用</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目针对功率半导体行业特点及需求，结合功率半导体生产工艺、制造特点，探索了一套支持功率半导体产品研发设计、生产计划、制造执行、物流跟踪、可靠性保障和品质管控等业务环节集成运行的自主可控功率半导体离散型智能制造新模式；攻克了自主可控功率半导体离散型智能制造车间总体架构、功率半导体核心工艺优化智能化技术、异构管理系统与车间制造执行的高效协同与集成运行模式等关键技术；设计、实施和应用了一批适用于功率半导体行业具有知识产权的智能制造软硬件系统；打造完成一个自主可控功率半导体离散型智能车间；支持功率半导体研发、设计、工艺以及制造等过程的自主可控；掌握了搭建功率半导体离散型智能制造车间的核心智能技术。综上，本项目的实施形成了向其他半导体器件生产企业推广应用的能力，可有效促进智能制造新模式在功率半导体制造企业中运用。</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本项指标设定分值4分，经综合评价，指标得分4分。</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（2）提升功率半导体行业综合核心竞争能力</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依托自主可控功率半导体离散型智能制造车间，平伟公司产品的质量水平和可靠性水平获得有效提升，使得平伟公司成为华为、三星、DELL、谷歌、亚马逊、联想、比亚迪、富士康等20家世界500强企业和全球前十的电源供应商台达、雅达、光宝、群光、康舒等客户的供应商与伙伴。</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此外，本项目实施团队在研发、生产、质量等关键业务环节中开发的各类的工业系统软件能够为功率半导体封测行业的企业提供参考和借鉴，有助于提升行业的生产制造能力和竞争能力；在升级改造两套功率半导体核心工艺智能设备过程中所形成的技术与经验有助于国内功率半导体封测行业的企业摆脱核心工艺装备依赖进口的现状，有效提升国内功率半导体行业的综合竞争力。</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本项指标设定分值4分，经综合评价，指标得分4分。</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2.经济效益</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依据项目竣工验收报告，平伟公司经2017年至2019年的智能制造车间建设后，实现了大功率器件新增产能960KK/年（其中：大功率TO产品年产能由改造前的300KK/年，提升到目前的1140KK/年；大功率整流桥的产能由改造前的60KK/年，提升到目前的180KK/年，KK为计量单位，1KK=100万只）。随着产品质量的有效提升及产能的逐步释放，能为公司有效增加产品的市场供应量，同时为扩大市场占有率提供了有力的支持，逐步获取更多的销售订单，即销售收入获得明显增长。此外，销售收入的增加除了给企业带来利润的增加外，还能给国家带来税收的增加，经济效益明显。</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本项指标设定分值4分，经综合评价，指标得分4分。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3.可持续影响</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通过应用和实施自主可控功率半导体离散型智能制造车间建设项目，可实现功率半导体从产品设计、生产计划、制造执行、物流跟踪、检验控制等业务一体化管控及优化运行的智能制造新模式，从而为解决功率半导体企业研发周期长、市场响应速度慢、信息透明度低、物流管控困难、生产成本高、生产质量难以控制等难题提供了一种有效的解决方案。项目建成投入使用后，平伟公司提高了产品生产效率，降低企业运营成本，缩短产品研制周期，其自身综合核心竞争能力大大提升，为扩大市场占有率创造了有利条件，有效促进本项目及平伟公司的可持续发展进程。</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此外，依照实施单位提供的资料得知，本项目已形成了保障项目持续运营发挥效益的长效机制，同时还制定了项目推广应用计划，如建立推广应用组、建立客户资源信息库、举办相关技术培训班等，保障项目产出产品合格率，项目自身运行的可持续性良好。</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本项指标设定分值6分，经综合评价，指标得分6分。</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4.社会公众满意度</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因本次绩效评价现场调研期间正值高温用电高峰期，平伟公司按照区级有关部门限电要求关闭了部分产线，部分员工未正常上班，故本次评价问卷调研群众数量有限，评价小组向平伟公司工作人员共发放问卷20份，回收有效问卷20份。经统计分析，群众对本项目的满意度如下：</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（1）对智能制造车间运行情况的满意度</w:t>
      </w:r>
    </w:p>
    <w:tbl>
      <w:tblPr>
        <w:tblStyle w:val="26"/>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9"/>
        <w:gridCol w:w="1483"/>
        <w:gridCol w:w="2189"/>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97"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调查内容</w:t>
            </w:r>
          </w:p>
        </w:tc>
        <w:tc>
          <w:tcPr>
            <w:tcW w:w="1222"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满意</w:t>
            </w:r>
          </w:p>
        </w:tc>
        <w:tc>
          <w:tcPr>
            <w:tcW w:w="1803"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基本满意</w:t>
            </w:r>
          </w:p>
        </w:tc>
        <w:tc>
          <w:tcPr>
            <w:tcW w:w="1864"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97"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仿宋"/>
                <w:bCs/>
                <w:spacing w:val="4"/>
                <w:sz w:val="24"/>
                <w:szCs w:val="24"/>
                <w:highlight w:val="none"/>
                <w:shd w:val="clear" w:color="auto" w:fill="FFFFFF" w:themeFill="background1"/>
              </w:rPr>
              <w:t>运行</w:t>
            </w:r>
            <w:r>
              <w:rPr>
                <w:rFonts w:hint="eastAsia" w:hAnsi="仿宋" w:cs="仿宋"/>
                <w:bCs/>
                <w:spacing w:val="4"/>
                <w:sz w:val="24"/>
                <w:szCs w:val="24"/>
                <w:highlight w:val="none"/>
                <w:shd w:val="clear" w:color="auto" w:fill="FFFFFF" w:themeFill="background1"/>
                <w:lang w:val="en-US" w:eastAsia="zh-CN"/>
              </w:rPr>
              <w:t>情况</w:t>
            </w:r>
            <w:r>
              <w:rPr>
                <w:rFonts w:hint="eastAsia" w:hAnsi="仿宋" w:cs="仿宋"/>
                <w:bCs/>
                <w:spacing w:val="4"/>
                <w:sz w:val="24"/>
                <w:szCs w:val="24"/>
                <w:highlight w:val="none"/>
                <w:shd w:val="clear" w:color="auto" w:fill="FFFFFF" w:themeFill="background1"/>
              </w:rPr>
              <w:t>的满意度</w:t>
            </w:r>
          </w:p>
        </w:tc>
        <w:tc>
          <w:tcPr>
            <w:tcW w:w="1222" w:type="dxa"/>
            <w:vAlign w:val="center"/>
          </w:tcPr>
          <w:p>
            <w:pPr>
              <w:snapToGrid w:val="0"/>
              <w:jc w:val="center"/>
              <w:rPr>
                <w:rFonts w:hint="default" w:hAnsi="仿宋" w:eastAsia="仿宋" w:cs="仿宋"/>
                <w:bCs/>
                <w:spacing w:val="4"/>
                <w:sz w:val="24"/>
                <w:szCs w:val="24"/>
                <w:highlight w:val="none"/>
                <w:shd w:val="clear" w:color="auto" w:fill="FFFFFF" w:themeFill="background1"/>
                <w:lang w:val="en-US" w:eastAsia="zh-CN"/>
              </w:rPr>
            </w:pPr>
            <w:r>
              <w:rPr>
                <w:rFonts w:hint="eastAsia" w:hAnsi="仿宋" w:cs="仿宋"/>
                <w:bCs/>
                <w:spacing w:val="4"/>
                <w:sz w:val="21"/>
                <w:highlight w:val="none"/>
                <w:shd w:val="clear" w:color="auto" w:fill="FFFFFF"/>
                <w:lang w:val="en-US" w:eastAsia="zh-CN"/>
              </w:rPr>
              <w:t>90.00%</w:t>
            </w:r>
          </w:p>
        </w:tc>
        <w:tc>
          <w:tcPr>
            <w:tcW w:w="1803" w:type="dxa"/>
            <w:vAlign w:val="center"/>
          </w:tcPr>
          <w:p>
            <w:pPr>
              <w:snapToGrid w:val="0"/>
              <w:jc w:val="center"/>
              <w:rPr>
                <w:rFonts w:hint="default" w:hAnsi="仿宋" w:eastAsia="仿宋" w:cs="仿宋"/>
                <w:bCs/>
                <w:spacing w:val="4"/>
                <w:sz w:val="24"/>
                <w:szCs w:val="24"/>
                <w:highlight w:val="none"/>
                <w:shd w:val="clear" w:color="auto" w:fill="FFFFFF" w:themeFill="background1"/>
                <w:lang w:val="en-US" w:eastAsia="zh-CN"/>
              </w:rPr>
            </w:pPr>
            <w:r>
              <w:rPr>
                <w:rFonts w:hint="eastAsia" w:hAnsi="仿宋" w:cs="仿宋"/>
                <w:bCs/>
                <w:spacing w:val="4"/>
                <w:sz w:val="21"/>
                <w:highlight w:val="none"/>
                <w:shd w:val="clear" w:color="auto" w:fill="FFFFFF"/>
                <w:lang w:val="en-US" w:eastAsia="zh-CN"/>
              </w:rPr>
              <w:t>10.00%</w:t>
            </w:r>
          </w:p>
        </w:tc>
        <w:tc>
          <w:tcPr>
            <w:tcW w:w="1864"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仿宋"/>
                <w:bCs/>
                <w:spacing w:val="4"/>
                <w:sz w:val="24"/>
                <w:szCs w:val="24"/>
                <w:highlight w:val="none"/>
                <w:shd w:val="clear" w:color="auto" w:fill="FFFFFF" w:themeFill="background1"/>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37" w:firstLineChars="250"/>
        <w:jc w:val="both"/>
        <w:textAlignment w:val="auto"/>
        <w:rPr>
          <w:rFonts w:hint="eastAsia" w:ascii="仿宋" w:hAnsi="仿宋" w:eastAsia="仿宋" w:cs="仿宋"/>
          <w:color w:val="000000"/>
          <w:kern w:val="2"/>
          <w:sz w:val="24"/>
          <w:szCs w:val="24"/>
          <w:highlight w:val="none"/>
        </w:rPr>
      </w:pPr>
      <w:r>
        <w:rPr>
          <w:rFonts w:hint="eastAsia" w:ascii="仿宋" w:hAnsi="仿宋" w:eastAsia="仿宋" w:cs="仿宋"/>
          <w:snapToGrid w:val="0"/>
          <w:color w:val="000000"/>
          <w:spacing w:val="0"/>
          <w:kern w:val="0"/>
          <w:sz w:val="24"/>
          <w:szCs w:val="24"/>
          <w:highlight w:val="none"/>
        </w:rPr>
        <w:t>注：“基本满意”中30%计入不满意，70%计入满意。</w:t>
      </w:r>
    </w:p>
    <w:p>
      <w:pPr>
        <w:spacing w:line="600" w:lineRule="exact"/>
        <w:ind w:firstLine="630" w:firstLineChars="200"/>
        <w:jc w:val="both"/>
        <w:rPr>
          <w:rFonts w:hint="default" w:hAnsi="仿宋" w:cs="Times New Roman"/>
          <w:szCs w:val="30"/>
          <w:highlight w:val="none"/>
          <w:lang w:val="en-US" w:eastAsia="zh-CN"/>
        </w:rPr>
      </w:pPr>
      <w:r>
        <w:rPr>
          <w:rFonts w:hint="eastAsia" w:hAnsi="仿宋" w:cs="Times New Roman"/>
          <w:szCs w:val="30"/>
          <w:highlight w:val="none"/>
          <w:lang w:val="en-US" w:eastAsia="zh-CN"/>
        </w:rPr>
        <w:t>调查结果表明，调查对象对智能制造车间运行情况的满意度较高，满意度占比97.00%，不满意占比3.00%。存在不满意的原因系部分员工认为MES系统、ERP系统还需要进一步优化，建议可将MES系统和ERP系统集成运用。</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（2）对智能制造车间生产质量的满意度</w:t>
      </w:r>
    </w:p>
    <w:tbl>
      <w:tblPr>
        <w:tblStyle w:val="26"/>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9"/>
        <w:gridCol w:w="1483"/>
        <w:gridCol w:w="2189"/>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97"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调查内容</w:t>
            </w:r>
          </w:p>
        </w:tc>
        <w:tc>
          <w:tcPr>
            <w:tcW w:w="1222"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满意</w:t>
            </w:r>
          </w:p>
        </w:tc>
        <w:tc>
          <w:tcPr>
            <w:tcW w:w="1803"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基本满意</w:t>
            </w:r>
          </w:p>
        </w:tc>
        <w:tc>
          <w:tcPr>
            <w:tcW w:w="1864"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97"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仿宋"/>
                <w:bCs/>
                <w:spacing w:val="4"/>
                <w:sz w:val="24"/>
                <w:szCs w:val="24"/>
                <w:highlight w:val="none"/>
                <w:shd w:val="clear" w:color="auto" w:fill="FFFFFF" w:themeFill="background1"/>
              </w:rPr>
              <w:t>生产</w:t>
            </w:r>
            <w:r>
              <w:rPr>
                <w:rFonts w:hint="eastAsia" w:hAnsi="仿宋" w:cs="仿宋"/>
                <w:bCs/>
                <w:spacing w:val="4"/>
                <w:sz w:val="24"/>
                <w:szCs w:val="24"/>
                <w:highlight w:val="none"/>
                <w:shd w:val="clear" w:color="auto" w:fill="FFFFFF" w:themeFill="background1"/>
                <w:lang w:val="en-US" w:eastAsia="zh-CN"/>
              </w:rPr>
              <w:t>质量</w:t>
            </w:r>
            <w:r>
              <w:rPr>
                <w:rFonts w:hint="eastAsia" w:hAnsi="仿宋" w:cs="仿宋"/>
                <w:bCs/>
                <w:spacing w:val="4"/>
                <w:sz w:val="24"/>
                <w:szCs w:val="24"/>
                <w:highlight w:val="none"/>
                <w:shd w:val="clear" w:color="auto" w:fill="FFFFFF" w:themeFill="background1"/>
              </w:rPr>
              <w:t>的满意度</w:t>
            </w:r>
          </w:p>
        </w:tc>
        <w:tc>
          <w:tcPr>
            <w:tcW w:w="1222" w:type="dxa"/>
            <w:vAlign w:val="center"/>
          </w:tcPr>
          <w:p>
            <w:pPr>
              <w:snapToGrid w:val="0"/>
              <w:jc w:val="center"/>
              <w:rPr>
                <w:rFonts w:hint="default" w:hAnsi="仿宋" w:eastAsia="仿宋" w:cs="仿宋"/>
                <w:bCs/>
                <w:spacing w:val="4"/>
                <w:sz w:val="24"/>
                <w:szCs w:val="24"/>
                <w:highlight w:val="none"/>
                <w:shd w:val="clear" w:color="auto" w:fill="FFFFFF" w:themeFill="background1"/>
                <w:lang w:val="en-US" w:eastAsia="zh-CN"/>
              </w:rPr>
            </w:pPr>
            <w:r>
              <w:rPr>
                <w:rFonts w:hint="eastAsia" w:hAnsi="仿宋" w:cs="宋体"/>
                <w:bCs/>
                <w:spacing w:val="4"/>
                <w:sz w:val="21"/>
                <w:highlight w:val="none"/>
                <w:shd w:val="clear" w:color="auto" w:fill="FFFFFF"/>
                <w:lang w:val="en-US" w:eastAsia="zh-CN"/>
              </w:rPr>
              <w:t>100.00%</w:t>
            </w:r>
          </w:p>
        </w:tc>
        <w:tc>
          <w:tcPr>
            <w:tcW w:w="1803" w:type="dxa"/>
            <w:vAlign w:val="center"/>
          </w:tcPr>
          <w:p>
            <w:pPr>
              <w:snapToGrid w:val="0"/>
              <w:jc w:val="center"/>
              <w:rPr>
                <w:rFonts w:hint="eastAsia" w:hAnsi="仿宋" w:eastAsia="仿宋" w:cs="仿宋"/>
                <w:bCs/>
                <w:spacing w:val="4"/>
                <w:sz w:val="24"/>
                <w:szCs w:val="24"/>
                <w:highlight w:val="none"/>
                <w:shd w:val="clear" w:color="auto" w:fill="FFFFFF" w:themeFill="background1"/>
                <w:lang w:eastAsia="zh-CN"/>
              </w:rPr>
            </w:pPr>
            <w:r>
              <w:rPr>
                <w:rFonts w:hint="eastAsia" w:hAnsi="仿宋" w:cs="宋体"/>
                <w:bCs/>
                <w:spacing w:val="4"/>
                <w:sz w:val="21"/>
                <w:highlight w:val="none"/>
                <w:shd w:val="clear" w:color="auto" w:fill="FFFFFF"/>
                <w:lang w:val="en-US" w:eastAsia="zh-CN"/>
              </w:rPr>
              <w:t>-</w:t>
            </w:r>
          </w:p>
        </w:tc>
        <w:tc>
          <w:tcPr>
            <w:tcW w:w="1864"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仿宋"/>
                <w:bCs/>
                <w:spacing w:val="4"/>
                <w:sz w:val="24"/>
                <w:szCs w:val="24"/>
                <w:highlight w:val="none"/>
                <w:shd w:val="clear" w:color="auto" w:fill="FFFFFF" w:themeFill="background1"/>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37" w:firstLineChars="250"/>
        <w:jc w:val="both"/>
        <w:textAlignment w:val="auto"/>
        <w:rPr>
          <w:rFonts w:hint="eastAsia" w:ascii="仿宋" w:hAnsi="仿宋" w:eastAsia="仿宋" w:cs="仿宋"/>
          <w:color w:val="000000"/>
          <w:kern w:val="2"/>
          <w:sz w:val="24"/>
          <w:szCs w:val="24"/>
          <w:highlight w:val="none"/>
        </w:rPr>
      </w:pPr>
      <w:r>
        <w:rPr>
          <w:rFonts w:hint="eastAsia" w:ascii="仿宋" w:hAnsi="仿宋" w:eastAsia="仿宋" w:cs="仿宋"/>
          <w:snapToGrid w:val="0"/>
          <w:color w:val="000000"/>
          <w:spacing w:val="0"/>
          <w:kern w:val="0"/>
          <w:sz w:val="24"/>
          <w:szCs w:val="24"/>
          <w:highlight w:val="none"/>
        </w:rPr>
        <w:t>注：“基本满意”中30%计入不满意，70%计入满意。</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调查结果表明，调查对象对智能制造车间生产质量的满意度为100%，不存在不满意的情况。</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（3）对智能制造车间生产效率的满意度</w:t>
      </w:r>
    </w:p>
    <w:tbl>
      <w:tblPr>
        <w:tblStyle w:val="26"/>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9"/>
        <w:gridCol w:w="1483"/>
        <w:gridCol w:w="2189"/>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97"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调查内容</w:t>
            </w:r>
          </w:p>
        </w:tc>
        <w:tc>
          <w:tcPr>
            <w:tcW w:w="1222"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满意</w:t>
            </w:r>
          </w:p>
        </w:tc>
        <w:tc>
          <w:tcPr>
            <w:tcW w:w="1803"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基本满意</w:t>
            </w:r>
          </w:p>
        </w:tc>
        <w:tc>
          <w:tcPr>
            <w:tcW w:w="1864" w:type="dxa"/>
            <w:vAlign w:val="center"/>
          </w:tcPr>
          <w:p>
            <w:pPr>
              <w:snapToGrid w:val="0"/>
              <w:jc w:val="center"/>
              <w:rPr>
                <w:rFonts w:hAnsi="仿宋" w:cs="仿宋"/>
                <w:b/>
                <w:spacing w:val="4"/>
                <w:sz w:val="24"/>
                <w:szCs w:val="24"/>
                <w:highlight w:val="none"/>
                <w:shd w:val="clear" w:color="auto" w:fill="FFFFFF" w:themeFill="background1"/>
              </w:rPr>
            </w:pPr>
            <w:r>
              <w:rPr>
                <w:rFonts w:hint="eastAsia" w:hAnsi="仿宋" w:cs="仿宋"/>
                <w:b/>
                <w:spacing w:val="4"/>
                <w:sz w:val="24"/>
                <w:szCs w:val="24"/>
                <w:highlight w:val="none"/>
                <w:shd w:val="clear" w:color="auto" w:fill="FFFFFF" w:themeFill="background1"/>
              </w:rPr>
              <w:t>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97"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仿宋"/>
                <w:bCs/>
                <w:spacing w:val="4"/>
                <w:sz w:val="24"/>
                <w:szCs w:val="24"/>
                <w:highlight w:val="none"/>
                <w:shd w:val="clear" w:color="auto" w:fill="FFFFFF" w:themeFill="background1"/>
              </w:rPr>
              <w:t>生产</w:t>
            </w:r>
            <w:r>
              <w:rPr>
                <w:rFonts w:hint="eastAsia" w:hAnsi="仿宋" w:cs="仿宋"/>
                <w:bCs/>
                <w:spacing w:val="4"/>
                <w:sz w:val="24"/>
                <w:szCs w:val="24"/>
                <w:highlight w:val="none"/>
                <w:shd w:val="clear" w:color="auto" w:fill="FFFFFF" w:themeFill="background1"/>
                <w:lang w:val="en-US" w:eastAsia="zh-CN"/>
              </w:rPr>
              <w:t>效率</w:t>
            </w:r>
            <w:r>
              <w:rPr>
                <w:rFonts w:hint="eastAsia" w:hAnsi="仿宋" w:cs="仿宋"/>
                <w:bCs/>
                <w:spacing w:val="4"/>
                <w:sz w:val="24"/>
                <w:szCs w:val="24"/>
                <w:highlight w:val="none"/>
                <w:shd w:val="clear" w:color="auto" w:fill="FFFFFF" w:themeFill="background1"/>
              </w:rPr>
              <w:t>的满意度</w:t>
            </w:r>
          </w:p>
        </w:tc>
        <w:tc>
          <w:tcPr>
            <w:tcW w:w="1222"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宋体"/>
                <w:bCs/>
                <w:spacing w:val="4"/>
                <w:sz w:val="21"/>
                <w:highlight w:val="none"/>
                <w:shd w:val="clear" w:color="auto" w:fill="FFFFFF"/>
                <w:lang w:val="en-US" w:eastAsia="zh-CN"/>
              </w:rPr>
              <w:t>100.00%</w:t>
            </w:r>
          </w:p>
        </w:tc>
        <w:tc>
          <w:tcPr>
            <w:tcW w:w="1803"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宋体"/>
                <w:bCs/>
                <w:spacing w:val="4"/>
                <w:sz w:val="21"/>
                <w:highlight w:val="none"/>
                <w:shd w:val="clear" w:color="auto" w:fill="FFFFFF"/>
                <w:lang w:val="en-US" w:eastAsia="zh-CN"/>
              </w:rPr>
              <w:t>-</w:t>
            </w:r>
          </w:p>
        </w:tc>
        <w:tc>
          <w:tcPr>
            <w:tcW w:w="1864" w:type="dxa"/>
            <w:vAlign w:val="center"/>
          </w:tcPr>
          <w:p>
            <w:pPr>
              <w:snapToGrid w:val="0"/>
              <w:jc w:val="center"/>
              <w:rPr>
                <w:rFonts w:hAnsi="仿宋" w:cs="仿宋"/>
                <w:bCs/>
                <w:spacing w:val="4"/>
                <w:sz w:val="24"/>
                <w:szCs w:val="24"/>
                <w:highlight w:val="none"/>
                <w:shd w:val="clear" w:color="auto" w:fill="FFFFFF" w:themeFill="background1"/>
              </w:rPr>
            </w:pPr>
            <w:r>
              <w:rPr>
                <w:rFonts w:hint="eastAsia" w:hAnsi="仿宋" w:cs="仿宋"/>
                <w:bCs/>
                <w:spacing w:val="4"/>
                <w:sz w:val="24"/>
                <w:szCs w:val="24"/>
                <w:highlight w:val="none"/>
                <w:shd w:val="clear" w:color="auto" w:fill="FFFFFF" w:themeFill="background1"/>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37" w:firstLineChars="250"/>
        <w:jc w:val="both"/>
        <w:textAlignment w:val="auto"/>
        <w:rPr>
          <w:rFonts w:hint="eastAsia" w:ascii="仿宋" w:hAnsi="仿宋" w:eastAsia="仿宋" w:cs="仿宋"/>
          <w:color w:val="000000"/>
          <w:kern w:val="2"/>
          <w:sz w:val="24"/>
          <w:szCs w:val="24"/>
          <w:highlight w:val="none"/>
        </w:rPr>
      </w:pPr>
      <w:r>
        <w:rPr>
          <w:rFonts w:hint="eastAsia" w:ascii="仿宋" w:hAnsi="仿宋" w:eastAsia="仿宋" w:cs="仿宋"/>
          <w:snapToGrid w:val="0"/>
          <w:color w:val="000000"/>
          <w:spacing w:val="0"/>
          <w:kern w:val="0"/>
          <w:sz w:val="24"/>
          <w:szCs w:val="24"/>
          <w:highlight w:val="none"/>
        </w:rPr>
        <w:t>注：“基本满意”中30%计入不满意，70%计入满意。</w:t>
      </w:r>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调查结果表明，调查对象对智能制造车间生产效率的满意度100%，不存在不满意的情况。</w:t>
      </w:r>
    </w:p>
    <w:p>
      <w:pPr>
        <w:spacing w:line="600" w:lineRule="exact"/>
        <w:ind w:firstLine="630" w:firstLineChars="200"/>
        <w:outlineLvl w:val="0"/>
        <w:rPr>
          <w:rFonts w:ascii="黑体" w:hAnsi="宋体" w:eastAsia="黑体" w:cs="宋体"/>
          <w:szCs w:val="30"/>
          <w:highlight w:val="none"/>
          <w:shd w:val="clear" w:color="auto" w:fill="FFFFFF" w:themeFill="background1"/>
        </w:rPr>
      </w:pPr>
      <w:bookmarkStart w:id="62" w:name="_Toc24776"/>
      <w:r>
        <w:rPr>
          <w:rFonts w:hint="eastAsia" w:ascii="黑体" w:hAnsi="宋体" w:eastAsia="黑体" w:cs="宋体"/>
          <w:szCs w:val="30"/>
          <w:highlight w:val="none"/>
          <w:shd w:val="clear" w:color="auto" w:fill="FFFFFF" w:themeFill="background1"/>
        </w:rPr>
        <w:t>四、绩效评价结论</w:t>
      </w:r>
      <w:bookmarkEnd w:id="62"/>
    </w:p>
    <w:p>
      <w:pPr>
        <w:spacing w:line="600" w:lineRule="exact"/>
        <w:ind w:firstLine="630" w:firstLineChars="200"/>
        <w:outlineLvl w:val="1"/>
        <w:rPr>
          <w:rFonts w:ascii="楷体" w:hAnsi="楷体" w:eastAsia="楷体"/>
          <w:szCs w:val="30"/>
          <w:highlight w:val="none"/>
          <w:shd w:val="clear" w:color="auto" w:fill="FFFFFF" w:themeFill="background1"/>
        </w:rPr>
      </w:pPr>
      <w:bookmarkStart w:id="63" w:name="_Toc21700"/>
      <w:r>
        <w:rPr>
          <w:rFonts w:hint="eastAsia" w:ascii="楷体" w:hAnsi="楷体" w:eastAsia="楷体"/>
          <w:szCs w:val="30"/>
          <w:highlight w:val="none"/>
          <w:shd w:val="clear" w:color="auto" w:fill="FFFFFF" w:themeFill="background1"/>
        </w:rPr>
        <w:t>（一）评分情况</w:t>
      </w:r>
      <w:bookmarkEnd w:id="63"/>
    </w:p>
    <w:p>
      <w:pPr>
        <w:spacing w:line="600" w:lineRule="exact"/>
        <w:ind w:firstLine="630" w:firstLineChars="200"/>
        <w:jc w:val="both"/>
        <w:rPr>
          <w:rFonts w:hint="eastAsia" w:hAnsi="仿宋" w:cs="Times New Roman"/>
          <w:szCs w:val="30"/>
          <w:highlight w:val="none"/>
          <w:lang w:val="en-US" w:eastAsia="zh-CN"/>
        </w:rPr>
      </w:pPr>
      <w:r>
        <w:rPr>
          <w:rFonts w:hint="eastAsia" w:hAnsi="仿宋" w:cs="Times New Roman"/>
          <w:szCs w:val="30"/>
          <w:highlight w:val="none"/>
          <w:lang w:val="en-US" w:eastAsia="zh-CN"/>
        </w:rPr>
        <w:t>通过综合评价，重庆市梁平区自主可控功率半导体离散型智能制造车间建设项目综合得分为94.00分，评价等级为“优”。具体评分情况如下：</w:t>
      </w:r>
    </w:p>
    <w:tbl>
      <w:tblPr>
        <w:tblStyle w:val="26"/>
        <w:tblW w:w="8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5"/>
        <w:gridCol w:w="2195"/>
        <w:gridCol w:w="2195"/>
        <w:gridCol w:w="2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一级指标</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标准分值</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评价得分</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决策</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20</w:t>
            </w:r>
            <w:r>
              <w:rPr>
                <w:rFonts w:hint="eastAsia" w:hAnsi="仿宋" w:cs="仿宋"/>
                <w:sz w:val="24"/>
                <w:szCs w:val="24"/>
                <w:highlight w:val="none"/>
                <w:shd w:val="clear" w:color="auto" w:fill="FFFFFF" w:themeFill="background1"/>
                <w:lang w:val="en-US" w:eastAsia="zh-CN"/>
              </w:rPr>
              <w:t>.00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1</w:t>
            </w:r>
            <w:r>
              <w:rPr>
                <w:rFonts w:hint="eastAsia" w:hAnsi="仿宋" w:cs="仿宋"/>
                <w:sz w:val="24"/>
                <w:szCs w:val="24"/>
                <w:highlight w:val="none"/>
                <w:shd w:val="clear" w:color="auto" w:fill="FFFFFF" w:themeFill="background1"/>
                <w:lang w:val="en-US" w:eastAsia="zh-CN"/>
              </w:rPr>
              <w:t>8</w:t>
            </w:r>
            <w:r>
              <w:rPr>
                <w:rFonts w:hint="eastAsia" w:hAnsi="仿宋" w:cs="仿宋"/>
                <w:sz w:val="24"/>
                <w:szCs w:val="24"/>
                <w:highlight w:val="none"/>
                <w:shd w:val="clear" w:color="auto" w:fill="FFFFFF" w:themeFill="background1"/>
              </w:rPr>
              <w:t>.00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90</w:t>
            </w:r>
            <w:r>
              <w:rPr>
                <w:rFonts w:hint="eastAsia" w:hAnsi="仿宋" w:cs="仿宋"/>
                <w:sz w:val="24"/>
                <w:szCs w:val="24"/>
                <w:highlight w:val="none"/>
                <w:shd w:val="clear" w:color="auto" w:fill="FFFFFF" w:themeFill="background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过程</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20</w:t>
            </w:r>
            <w:r>
              <w:rPr>
                <w:rFonts w:hint="eastAsia" w:hAnsi="仿宋" w:cs="仿宋"/>
                <w:sz w:val="24"/>
                <w:szCs w:val="24"/>
                <w:highlight w:val="none"/>
                <w:shd w:val="clear" w:color="auto" w:fill="FFFFFF" w:themeFill="background1"/>
                <w:lang w:val="en-US" w:eastAsia="zh-CN"/>
              </w:rPr>
              <w:t>.00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1</w:t>
            </w:r>
            <w:r>
              <w:rPr>
                <w:rFonts w:hint="eastAsia" w:hAnsi="仿宋" w:cs="仿宋"/>
                <w:sz w:val="24"/>
                <w:szCs w:val="24"/>
                <w:highlight w:val="none"/>
                <w:shd w:val="clear" w:color="auto" w:fill="FFFFFF" w:themeFill="background1"/>
                <w:lang w:val="en-US" w:eastAsia="zh-CN"/>
              </w:rPr>
              <w:t>8.0</w:t>
            </w:r>
            <w:r>
              <w:rPr>
                <w:rFonts w:hint="eastAsia" w:hAnsi="仿宋" w:cs="仿宋"/>
                <w:sz w:val="24"/>
                <w:szCs w:val="24"/>
                <w:highlight w:val="none"/>
                <w:shd w:val="clear" w:color="auto" w:fill="FFFFFF" w:themeFill="background1"/>
              </w:rPr>
              <w:t>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90.0</w:t>
            </w:r>
            <w:r>
              <w:rPr>
                <w:rFonts w:hint="eastAsia" w:hAnsi="仿宋" w:cs="仿宋"/>
                <w:sz w:val="24"/>
                <w:szCs w:val="24"/>
                <w:highlight w:val="none"/>
                <w:shd w:val="clear" w:color="auto" w:fill="FFFFFF" w:themeFill="background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产出</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30</w:t>
            </w:r>
            <w:r>
              <w:rPr>
                <w:rFonts w:hint="eastAsia" w:hAnsi="仿宋" w:cs="仿宋"/>
                <w:sz w:val="24"/>
                <w:szCs w:val="24"/>
                <w:highlight w:val="none"/>
                <w:shd w:val="clear" w:color="auto" w:fill="FFFFFF" w:themeFill="background1"/>
                <w:lang w:val="en-US" w:eastAsia="zh-CN"/>
              </w:rPr>
              <w:t>.00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28.00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93.33%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rPr>
              <w:t>效益</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sz w:val="24"/>
                <w:szCs w:val="24"/>
                <w:highlight w:val="none"/>
                <w:shd w:val="clear" w:color="auto" w:fill="FFFFFF" w:themeFill="background1"/>
                <w:lang w:val="en-US" w:eastAsia="zh-CN"/>
              </w:rPr>
            </w:pPr>
            <w:r>
              <w:rPr>
                <w:rFonts w:hint="eastAsia" w:hAnsi="仿宋" w:cs="仿宋"/>
                <w:sz w:val="24"/>
                <w:szCs w:val="24"/>
                <w:highlight w:val="none"/>
                <w:shd w:val="clear" w:color="auto" w:fill="FFFFFF" w:themeFill="background1"/>
              </w:rPr>
              <w:t>30</w:t>
            </w:r>
            <w:r>
              <w:rPr>
                <w:rFonts w:hint="eastAsia" w:hAnsi="仿宋" w:cs="仿宋"/>
                <w:sz w:val="24"/>
                <w:szCs w:val="24"/>
                <w:highlight w:val="none"/>
                <w:shd w:val="clear" w:color="auto" w:fill="FFFFFF" w:themeFill="background1"/>
                <w:lang w:val="en-US" w:eastAsia="zh-CN"/>
              </w:rPr>
              <w:t>.00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30</w:t>
            </w:r>
            <w:r>
              <w:rPr>
                <w:rFonts w:hint="eastAsia" w:hAnsi="仿宋" w:cs="仿宋"/>
                <w:sz w:val="24"/>
                <w:szCs w:val="24"/>
                <w:highlight w:val="none"/>
                <w:shd w:val="clear" w:color="auto" w:fill="FFFFFF" w:themeFill="background1"/>
              </w:rPr>
              <w:t>.00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sz w:val="24"/>
                <w:szCs w:val="24"/>
                <w:highlight w:val="none"/>
                <w:shd w:val="clear" w:color="auto" w:fill="FFFFFF" w:themeFill="background1"/>
                <w:lang w:val="en-US" w:eastAsia="zh-CN"/>
              </w:rPr>
              <w:t>100.00</w:t>
            </w:r>
            <w:r>
              <w:rPr>
                <w:rFonts w:hint="eastAsia" w:hAnsi="仿宋" w:cs="仿宋"/>
                <w:sz w:val="24"/>
                <w:szCs w:val="24"/>
                <w:highlight w:val="none"/>
                <w:shd w:val="clear" w:color="auto" w:fill="FFFFFF" w:themeFill="background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小计</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b/>
                <w:bCs/>
                <w:sz w:val="24"/>
                <w:szCs w:val="24"/>
                <w:highlight w:val="none"/>
                <w:shd w:val="clear" w:color="auto" w:fill="FFFFFF" w:themeFill="background1"/>
                <w:lang w:val="en-US" w:eastAsia="zh-CN"/>
              </w:rPr>
            </w:pPr>
            <w:r>
              <w:rPr>
                <w:rFonts w:hint="eastAsia" w:hAnsi="仿宋" w:cs="仿宋"/>
                <w:b/>
                <w:bCs/>
                <w:sz w:val="24"/>
                <w:szCs w:val="24"/>
                <w:highlight w:val="none"/>
                <w:shd w:val="clear" w:color="auto" w:fill="FFFFFF" w:themeFill="background1"/>
              </w:rPr>
              <w:t>100</w:t>
            </w:r>
            <w:r>
              <w:rPr>
                <w:rFonts w:hint="eastAsia" w:hAnsi="仿宋" w:cs="仿宋"/>
                <w:b/>
                <w:bCs/>
                <w:sz w:val="24"/>
                <w:szCs w:val="24"/>
                <w:highlight w:val="none"/>
                <w:shd w:val="clear" w:color="auto" w:fill="FFFFFF" w:themeFill="background1"/>
                <w:lang w:val="en-US" w:eastAsia="zh-CN"/>
              </w:rPr>
              <w:t>.00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default" w:hAnsi="仿宋" w:eastAsia="仿宋" w:cs="仿宋"/>
                <w:b/>
                <w:bCs/>
                <w:sz w:val="24"/>
                <w:szCs w:val="24"/>
                <w:highlight w:val="none"/>
                <w:shd w:val="clear" w:color="auto" w:fill="FFFFFF" w:themeFill="background1"/>
                <w:lang w:val="en-US" w:eastAsia="zh-CN"/>
              </w:rPr>
            </w:pPr>
            <w:r>
              <w:rPr>
                <w:rFonts w:hint="eastAsia" w:hAnsi="仿宋" w:cs="仿宋"/>
                <w:b/>
                <w:bCs/>
                <w:sz w:val="24"/>
                <w:szCs w:val="24"/>
                <w:highlight w:val="none"/>
                <w:shd w:val="clear" w:color="auto" w:fill="FFFFFF" w:themeFill="background1"/>
              </w:rPr>
              <w:t>9</w:t>
            </w:r>
            <w:r>
              <w:rPr>
                <w:rFonts w:hint="eastAsia" w:hAnsi="仿宋" w:cs="仿宋"/>
                <w:b/>
                <w:bCs/>
                <w:sz w:val="24"/>
                <w:szCs w:val="24"/>
                <w:highlight w:val="none"/>
                <w:shd w:val="clear" w:color="auto" w:fill="FFFFFF" w:themeFill="background1"/>
                <w:lang w:val="en-US" w:eastAsia="zh-CN"/>
              </w:rPr>
              <w:t>4.00</w:t>
            </w:r>
          </w:p>
        </w:tc>
        <w:tc>
          <w:tcPr>
            <w:tcW w:w="0" w:type="dxa"/>
            <w:vAlign w:val="center"/>
          </w:tcPr>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Ansi="仿宋" w:cs="仿宋"/>
                <w:b/>
                <w:bCs/>
                <w:sz w:val="24"/>
                <w:szCs w:val="24"/>
                <w:highlight w:val="none"/>
                <w:shd w:val="clear" w:color="auto" w:fill="FFFFFF" w:themeFill="background1"/>
              </w:rPr>
            </w:pPr>
            <w:r>
              <w:rPr>
                <w:rFonts w:hint="eastAsia" w:hAnsi="仿宋" w:cs="仿宋"/>
                <w:b/>
                <w:bCs/>
                <w:sz w:val="24"/>
                <w:szCs w:val="24"/>
                <w:highlight w:val="none"/>
                <w:shd w:val="clear" w:color="auto" w:fill="FFFFFF" w:themeFill="background1"/>
              </w:rPr>
              <w:t>9</w:t>
            </w:r>
            <w:r>
              <w:rPr>
                <w:rFonts w:hint="eastAsia" w:hAnsi="仿宋" w:cs="仿宋"/>
                <w:b/>
                <w:bCs/>
                <w:sz w:val="24"/>
                <w:szCs w:val="24"/>
                <w:highlight w:val="none"/>
                <w:shd w:val="clear" w:color="auto" w:fill="FFFFFF" w:themeFill="background1"/>
                <w:lang w:val="en-US" w:eastAsia="zh-CN"/>
              </w:rPr>
              <w:t>4.00</w:t>
            </w:r>
            <w:r>
              <w:rPr>
                <w:rFonts w:hint="eastAsia" w:hAnsi="仿宋" w:cs="仿宋"/>
                <w:b/>
                <w:bCs/>
                <w:sz w:val="24"/>
                <w:szCs w:val="24"/>
                <w:highlight w:val="none"/>
                <w:shd w:val="clear" w:color="auto" w:fill="FFFFFF" w:themeFill="background1"/>
              </w:rPr>
              <w:t>%</w:t>
            </w:r>
          </w:p>
        </w:tc>
      </w:tr>
    </w:tbl>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64" w:name="_Toc26419"/>
      <w:r>
        <w:rPr>
          <w:rFonts w:hint="eastAsia" w:ascii="楷体" w:hAnsi="楷体" w:eastAsia="楷体"/>
          <w:szCs w:val="30"/>
          <w:highlight w:val="none"/>
          <w:shd w:val="clear" w:color="auto" w:fill="FFFFFF" w:themeFill="background1"/>
        </w:rPr>
        <w:t>（二）综合评价</w:t>
      </w:r>
      <w:bookmarkEnd w:id="64"/>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通过绩效分析，综合评价认为：</w:t>
      </w:r>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重庆市梁平区自主可控功率半导体离散型智能制造车间建设项目对促进智能制造新模式在功率半导体制造企业运用、提升功率半导体行业综合核心竞争能力发挥了积极的作用。在项目实施过程中，相关部门组织机构运转协调有效、档案资料保存较好，保障了项目顺利实施。但也存在以下问题和不足，包括：项目绩效指标部分缺失，指标设置完整性不足；项目调整手续办理过晚，存在规避项目超期嫌疑；实施单位上报数据错误，监管力度待加强。</w:t>
      </w:r>
    </w:p>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0"/>
        <w:rPr>
          <w:rFonts w:ascii="黑体" w:hAnsi="宋体" w:eastAsia="黑体" w:cs="宋体"/>
          <w:szCs w:val="30"/>
          <w:highlight w:val="none"/>
          <w:shd w:val="clear" w:color="auto" w:fill="FFFFFF" w:themeFill="background1"/>
        </w:rPr>
      </w:pPr>
      <w:bookmarkStart w:id="65" w:name="_Toc24497"/>
      <w:r>
        <w:rPr>
          <w:rFonts w:hint="eastAsia" w:ascii="黑体" w:hAnsi="宋体" w:eastAsia="黑体" w:cs="宋体"/>
          <w:szCs w:val="30"/>
          <w:highlight w:val="none"/>
          <w:shd w:val="clear" w:color="auto" w:fill="FFFFFF" w:themeFill="background1"/>
        </w:rPr>
        <w:t>五、存在的主要问题和不足</w:t>
      </w:r>
      <w:bookmarkEnd w:id="65"/>
    </w:p>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1"/>
        <w:rPr>
          <w:rFonts w:ascii="楷体" w:hAnsi="楷体" w:eastAsia="楷体"/>
          <w:szCs w:val="30"/>
          <w:highlight w:val="none"/>
          <w:shd w:val="clear" w:color="auto" w:fill="FFFFFF" w:themeFill="background1"/>
        </w:rPr>
      </w:pPr>
      <w:bookmarkStart w:id="66" w:name="_Toc13831"/>
      <w:r>
        <w:rPr>
          <w:rFonts w:hint="eastAsia" w:ascii="楷体" w:hAnsi="楷体" w:eastAsia="楷体"/>
          <w:szCs w:val="30"/>
          <w:highlight w:val="none"/>
          <w:shd w:val="clear" w:color="auto" w:fill="FFFFFF" w:themeFill="background1"/>
        </w:rPr>
        <w:t>（一）项目绩效</w:t>
      </w:r>
      <w:r>
        <w:rPr>
          <w:rFonts w:hint="eastAsia" w:ascii="楷体" w:hAnsi="楷体" w:eastAsia="楷体"/>
          <w:szCs w:val="30"/>
          <w:highlight w:val="none"/>
          <w:shd w:val="clear" w:color="auto" w:fill="FFFFFF" w:themeFill="background1"/>
          <w:lang w:val="en-US" w:eastAsia="zh-CN"/>
        </w:rPr>
        <w:t>指</w:t>
      </w:r>
      <w:r>
        <w:rPr>
          <w:rFonts w:hint="eastAsia" w:ascii="楷体" w:hAnsi="楷体" w:eastAsia="楷体"/>
          <w:szCs w:val="30"/>
          <w:highlight w:val="none"/>
          <w:shd w:val="clear" w:color="auto" w:fill="FFFFFF" w:themeFill="background1"/>
        </w:rPr>
        <w:t>标</w:t>
      </w:r>
      <w:r>
        <w:rPr>
          <w:rFonts w:hint="eastAsia" w:ascii="楷体" w:hAnsi="楷体" w:eastAsia="楷体"/>
          <w:szCs w:val="30"/>
          <w:highlight w:val="none"/>
          <w:shd w:val="clear" w:color="auto" w:fill="FFFFFF" w:themeFill="background1"/>
          <w:lang w:val="en-US" w:eastAsia="zh-CN"/>
        </w:rPr>
        <w:t>部分缺失，指标设置</w:t>
      </w:r>
      <w:r>
        <w:rPr>
          <w:rFonts w:hint="eastAsia" w:ascii="楷体" w:hAnsi="楷体" w:eastAsia="楷体"/>
          <w:szCs w:val="30"/>
          <w:highlight w:val="none"/>
          <w:shd w:val="clear" w:color="auto" w:fill="FFFFFF" w:themeFill="background1"/>
        </w:rPr>
        <w:t>完整性不足</w:t>
      </w:r>
      <w:bookmarkEnd w:id="66"/>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因区经信委和平伟公司未根据本项目编制绩效目标申报表，也未按“渝财产业〔2020〕225号”文件要求在预算执行结束后对照绩效目标开展绩效自评，评价小组暂以《项目建设实施和支出绩效目标执行监控表》评判绩效指标明确性。</w:t>
      </w:r>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评价认为，上述监控表中绩效指标虽将项目绩效目标进行细化分解，但仍存在以下问题：一是未将绩效目标所有内容全部分解成具体的绩效指标，如“实现功率半导体器件年产在原有10亿只基础上新增产6亿只，新增产值4.5亿元”等未设置对应的绩效指标；二是绩效目标执行监控表仅笼统设置了5个绩效指标，未将绩效目标进一步细化分解成三级指标分别设置；指标设置不完整，将绩效目标执行监控表中绩效指标整理发现，上述5个指标均为产出指标，缺少效益及满意度指标。综上，绩效目标执行监控表未将绩效目标全部分解为具体绩效指标，且项目指标设置不满足“绩效指标清晰、细化、可衡量”的标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30" w:firstLineChars="200"/>
        <w:jc w:val="both"/>
        <w:textAlignment w:val="auto"/>
        <w:outlineLvl w:val="1"/>
        <w:rPr>
          <w:rFonts w:hint="default" w:ascii="楷体" w:hAnsi="楷体" w:eastAsia="楷体" w:cs="宋体"/>
          <w:kern w:val="0"/>
          <w:sz w:val="30"/>
          <w:szCs w:val="30"/>
          <w:shd w:val="clear" w:fill="FFFFFF"/>
          <w:lang w:val="en-US"/>
        </w:rPr>
      </w:pPr>
      <w:bookmarkStart w:id="67" w:name="_Toc17920"/>
      <w:r>
        <w:rPr>
          <w:rFonts w:hint="eastAsia" w:ascii="楷体" w:hAnsi="楷体" w:eastAsia="楷体" w:cs="楷体"/>
          <w:kern w:val="0"/>
          <w:sz w:val="30"/>
          <w:szCs w:val="30"/>
          <w:shd w:val="clear" w:fill="FFFFFF"/>
          <w:lang w:val="en-US" w:eastAsia="zh-CN" w:bidi="ar"/>
        </w:rPr>
        <w:t>（二）项目调整手续办理过晚，存在规避项目超期嫌疑</w:t>
      </w:r>
      <w:bookmarkEnd w:id="67"/>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审查发现，本项目在项目超期之后才申请调整项目工期和预算，项目调整手续办理顺序错误，存在规避项目超期嫌疑。具体表现为：立项批复文件规定本项目完成时间为2019年6月，但本项目竣工验收报告出具时间为2019年12月，项目超工期5月有余。2019年12月1日平伟公司向重庆市经济和信息化委员会（以下简称“市经信委”）递交了项目调整的请示，市经信委组织专家对项目调整内容进行评审后于2019年12月23日下达调整批复：同意本项目延期6个月，调整后实施期为2017年6月－2019年12月，项目完工时间在调整后实施期内。</w:t>
      </w:r>
    </w:p>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1"/>
        <w:rPr>
          <w:rFonts w:hint="default" w:ascii="楷体" w:hAnsi="楷体" w:eastAsia="楷体"/>
          <w:szCs w:val="30"/>
          <w:highlight w:val="none"/>
          <w:shd w:val="clear" w:color="auto" w:fill="FFFFFF" w:themeFill="background1"/>
          <w:lang w:val="en-US" w:eastAsia="zh-CN"/>
        </w:rPr>
      </w:pPr>
      <w:bookmarkStart w:id="68" w:name="_Toc9686"/>
      <w:r>
        <w:rPr>
          <w:rFonts w:hint="eastAsia" w:ascii="楷体" w:hAnsi="楷体" w:eastAsia="楷体"/>
          <w:szCs w:val="30"/>
          <w:highlight w:val="none"/>
          <w:shd w:val="clear" w:color="auto" w:fill="FFFFFF" w:themeFill="background1"/>
        </w:rPr>
        <w:t>（三）</w:t>
      </w:r>
      <w:r>
        <w:rPr>
          <w:rFonts w:hint="eastAsia" w:ascii="楷体" w:hAnsi="楷体" w:eastAsia="楷体"/>
          <w:szCs w:val="30"/>
          <w:highlight w:val="none"/>
          <w:shd w:val="clear" w:color="auto" w:fill="FFFFFF" w:themeFill="background1"/>
          <w:lang w:val="en-US" w:eastAsia="zh-CN"/>
        </w:rPr>
        <w:t>实施单位上报数据错误，监管力度待加强</w:t>
      </w:r>
      <w:bookmarkEnd w:id="68"/>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根据平伟公司提供的资料发现，项目上报市经信委的文件中存在多个文件数据有误的情况，具体如下：</w:t>
      </w:r>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审查比对项目验收报告（2019年12月出具）、《工业转型升级、制造业高质量发展资金实施单位项目中期检查报告》（2020年7月上报）、《重庆平伟实业股份有限公司智能制造发展情况》（2021年11月上报）、《关于提供十三五智能制造发展情况总结材料的函－平伟实业智能车间》发现，上述文件中主要考核指标的数据完全一致，如生产效率均提升为28.50%、产品研制周期均缩短40.70%。询问平伟公司相关管理人员得知，上述文件中主要考核指标数据均来源于2019年项目验收报告，并未按市经信委要求的数据周期填写相关数据和内容。实施单位填报数据时未按要求进行，导致上报材料数据不准确，相关部门监管力度有待提升。</w:t>
      </w:r>
    </w:p>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0"/>
        <w:rPr>
          <w:rFonts w:ascii="黑体" w:hAnsi="宋体" w:eastAsia="黑体" w:cs="宋体"/>
          <w:szCs w:val="30"/>
          <w:highlight w:val="none"/>
          <w:shd w:val="clear" w:color="auto" w:fill="FFFFFF" w:themeFill="background1"/>
        </w:rPr>
      </w:pPr>
      <w:bookmarkStart w:id="69" w:name="_Toc15619"/>
      <w:r>
        <w:rPr>
          <w:rFonts w:hint="eastAsia" w:ascii="黑体" w:hAnsi="宋体" w:eastAsia="黑体" w:cs="宋体"/>
          <w:szCs w:val="30"/>
          <w:highlight w:val="none"/>
          <w:shd w:val="clear" w:color="auto" w:fill="FFFFFF" w:themeFill="background1"/>
        </w:rPr>
        <w:t>六、主要建议</w:t>
      </w:r>
      <w:bookmarkEnd w:id="69"/>
    </w:p>
    <w:p>
      <w:pPr>
        <w:keepNext w:val="0"/>
        <w:keepLines w:val="0"/>
        <w:pageBreakBefore w:val="0"/>
        <w:kinsoku/>
        <w:wordWrap/>
        <w:overflowPunct/>
        <w:topLinePunct w:val="0"/>
        <w:autoSpaceDE/>
        <w:autoSpaceDN/>
        <w:bidi w:val="0"/>
        <w:adjustRightInd/>
        <w:snapToGrid/>
        <w:spacing w:line="600" w:lineRule="exact"/>
        <w:ind w:firstLine="630" w:firstLineChars="200"/>
        <w:jc w:val="left"/>
        <w:textAlignment w:val="auto"/>
        <w:outlineLvl w:val="1"/>
        <w:rPr>
          <w:rFonts w:ascii="楷体" w:hAnsi="楷体" w:eastAsia="楷体"/>
          <w:szCs w:val="30"/>
          <w:shd w:val="clear" w:color="auto" w:fill="FFFFFF" w:themeFill="background1"/>
        </w:rPr>
      </w:pPr>
      <w:bookmarkStart w:id="70" w:name="_Toc24993"/>
      <w:bookmarkStart w:id="71" w:name="_Toc20267"/>
      <w:r>
        <w:rPr>
          <w:rFonts w:hint="eastAsia" w:ascii="楷体" w:hAnsi="楷体" w:eastAsia="楷体"/>
          <w:szCs w:val="30"/>
          <w:highlight w:val="none"/>
          <w:shd w:val="clear" w:color="auto" w:fill="FFFFFF" w:themeFill="background1"/>
          <w:lang w:eastAsia="zh-CN"/>
        </w:rPr>
        <w:t>（一）</w:t>
      </w:r>
      <w:r>
        <w:rPr>
          <w:rFonts w:hint="eastAsia" w:ascii="楷体" w:hAnsi="楷体" w:eastAsia="楷体"/>
          <w:szCs w:val="30"/>
          <w:highlight w:val="none"/>
          <w:shd w:val="clear" w:color="auto" w:fill="FFFFFF" w:themeFill="background1"/>
          <w:lang w:val="en-US" w:eastAsia="zh-CN"/>
        </w:rPr>
        <w:t>按规定设置绩效目标申报表</w:t>
      </w:r>
      <w:r>
        <w:rPr>
          <w:rFonts w:hint="eastAsia" w:ascii="楷体" w:hAnsi="楷体" w:eastAsia="楷体"/>
          <w:szCs w:val="30"/>
          <w:shd w:val="clear" w:color="auto" w:fill="FFFFFF" w:themeFill="background1"/>
        </w:rPr>
        <w:t>，细化项目绩效指标设置</w:t>
      </w:r>
      <w:bookmarkEnd w:id="70"/>
      <w:bookmarkEnd w:id="71"/>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项目实施单位应注重绩效目标与一般指标的设置，严格按照《重庆市财政局关于印发〈重庆市市级政策和项目预算绩效管理办法（试行）〉的通知》（渝财绩〔2019〕19号）文件要求执行，在年初设置项目绩效目标，明确项目实施所要达到的目标及效果，通过本年度预算与项目任务的匹配性分析，合理设置项目投入、过程、产出及效果指标，指标设置要量化、具体、细化。通过将任务和要求等内容的指标化，有助于提升绩效目标对工作开展的指导性，保证项目开展效果的实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30" w:firstLineChars="200"/>
        <w:jc w:val="both"/>
        <w:textAlignment w:val="auto"/>
        <w:outlineLvl w:val="1"/>
        <w:rPr>
          <w:rFonts w:hint="eastAsia" w:ascii="楷体" w:hAnsi="楷体" w:eastAsia="楷体" w:cs="宋体"/>
          <w:kern w:val="0"/>
          <w:sz w:val="30"/>
          <w:szCs w:val="30"/>
          <w:shd w:val="clear" w:fill="FFFFFF"/>
        </w:rPr>
      </w:pPr>
      <w:bookmarkStart w:id="72" w:name="_Toc19141"/>
      <w:bookmarkStart w:id="73" w:name="_Toc3739"/>
      <w:r>
        <w:rPr>
          <w:rFonts w:hint="eastAsia" w:ascii="楷体" w:hAnsi="楷体" w:eastAsia="楷体" w:cs="楷体"/>
          <w:kern w:val="0"/>
          <w:sz w:val="30"/>
          <w:szCs w:val="30"/>
          <w:shd w:val="clear" w:fill="FFFFFF"/>
          <w:lang w:val="en-US" w:eastAsia="zh-CN" w:bidi="ar"/>
        </w:rPr>
        <w:t>（二）严格遵循项目手续办理顺序，确保项目程序合规</w:t>
      </w:r>
      <w:bookmarkEnd w:id="72"/>
      <w:bookmarkEnd w:id="73"/>
    </w:p>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9"/>
        <w:rPr>
          <w:rFonts w:hint="default" w:hAnsi="仿宋" w:cs="仿宋"/>
          <w:spacing w:val="6"/>
          <w:kern w:val="0"/>
          <w:sz w:val="30"/>
          <w:szCs w:val="30"/>
          <w:highlight w:val="none"/>
          <w:shd w:val="clear" w:fill="FFFFFF"/>
          <w:lang w:val="en-US" w:eastAsia="zh-CN" w:bidi="ar"/>
        </w:rPr>
      </w:pPr>
      <w:r>
        <w:rPr>
          <w:rFonts w:hint="eastAsia" w:hAnsi="仿宋" w:cs="Times New Roman"/>
          <w:szCs w:val="30"/>
          <w:highlight w:val="none"/>
          <w:lang w:val="en-US" w:eastAsia="zh-CN"/>
        </w:rPr>
        <w:t>实施单位在工作开展过程中要注重项目的统筹全盘管理。从项目立项到项目竣工决算期间制定全方位管理机制，严格遵循基本建设程序，在项目实施过程全面参与监督确保项目保质保量地完成。针对本项目而言，项目调整请示应该在项目立项批复时间范围内提出，而非在项目已明显超期后进行，避免项目手续办理违反规定，确保项目程序合规。</w:t>
      </w:r>
    </w:p>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1"/>
        <w:rPr>
          <w:rFonts w:hint="default" w:ascii="楷体" w:hAnsi="楷体" w:eastAsia="楷体"/>
          <w:szCs w:val="30"/>
          <w:highlight w:val="none"/>
          <w:shd w:val="clear" w:color="auto" w:fill="FFFFFF" w:themeFill="background1"/>
          <w:lang w:val="en-US" w:eastAsia="zh-CN"/>
        </w:rPr>
      </w:pPr>
      <w:bookmarkStart w:id="74" w:name="_Toc2580"/>
      <w:r>
        <w:rPr>
          <w:rFonts w:hint="eastAsia" w:ascii="楷体" w:hAnsi="楷体" w:eastAsia="楷体"/>
          <w:szCs w:val="30"/>
          <w:highlight w:val="none"/>
          <w:shd w:val="clear" w:color="auto" w:fill="FFFFFF" w:themeFill="background1"/>
        </w:rPr>
        <w:t>（三）</w:t>
      </w:r>
      <w:r>
        <w:rPr>
          <w:rFonts w:hint="eastAsia" w:ascii="楷体" w:hAnsi="楷体" w:eastAsia="楷体"/>
          <w:szCs w:val="30"/>
          <w:highlight w:val="none"/>
          <w:shd w:val="clear" w:color="auto" w:fill="FFFFFF" w:themeFill="background1"/>
          <w:lang w:val="en-US" w:eastAsia="zh-CN"/>
        </w:rPr>
        <w:t>加强项目后续监管力度，避免上传数据不合规</w:t>
      </w:r>
      <w:bookmarkEnd w:id="74"/>
    </w:p>
    <w:p>
      <w:pPr>
        <w:keepNext w:val="0"/>
        <w:keepLines w:val="0"/>
        <w:pageBreakBefore w:val="0"/>
        <w:kinsoku/>
        <w:wordWrap/>
        <w:overflowPunct/>
        <w:topLinePunct w:val="0"/>
        <w:autoSpaceDE/>
        <w:autoSpaceDN/>
        <w:bidi w:val="0"/>
        <w:adjustRightInd/>
        <w:snapToGrid/>
        <w:spacing w:line="600" w:lineRule="exact"/>
        <w:ind w:firstLine="630" w:firstLineChars="200"/>
        <w:jc w:val="both"/>
        <w:textAlignment w:val="auto"/>
        <w:rPr>
          <w:rFonts w:hint="default" w:hAnsi="仿宋" w:cs="Times New Roman"/>
          <w:szCs w:val="30"/>
          <w:highlight w:val="none"/>
          <w:lang w:val="en-US" w:eastAsia="zh-CN"/>
        </w:rPr>
      </w:pPr>
      <w:r>
        <w:rPr>
          <w:rFonts w:hint="eastAsia" w:hAnsi="仿宋" w:cs="Times New Roman"/>
          <w:szCs w:val="30"/>
          <w:highlight w:val="none"/>
          <w:lang w:val="en-US" w:eastAsia="zh-CN"/>
        </w:rPr>
        <w:t>本项目属《中国制造2025》文件范围重点项目，上级部门对项目后续运行情况高度重视。特别是对于制造业来讲，上报数据准确性可见一斑</w:t>
      </w:r>
      <w:bookmarkStart w:id="75" w:name="_Toc15593"/>
      <w:bookmarkStart w:id="76" w:name="_Toc7837"/>
      <w:r>
        <w:rPr>
          <w:rFonts w:hint="eastAsia" w:hAnsi="仿宋" w:cs="Times New Roman"/>
          <w:szCs w:val="30"/>
          <w:highlight w:val="none"/>
          <w:lang w:val="en-US" w:eastAsia="zh-CN"/>
        </w:rPr>
        <w:t>。故实施单位应及时调整数据有误的文件，并重新上报至市经信委。同时后续在上报相关数据应严谨核实数据填报区间，相关部门也须严格查证数据真实性和准确性，确保项目填报数据和内容符合上报规定。</w:t>
      </w:r>
    </w:p>
    <w:p>
      <w:pPr>
        <w:keepNext w:val="0"/>
        <w:keepLines w:val="0"/>
        <w:pageBreakBefore w:val="0"/>
        <w:kinsoku/>
        <w:wordWrap/>
        <w:overflowPunct/>
        <w:topLinePunct w:val="0"/>
        <w:autoSpaceDE/>
        <w:autoSpaceDN/>
        <w:bidi w:val="0"/>
        <w:adjustRightInd/>
        <w:snapToGrid/>
        <w:spacing w:line="600" w:lineRule="exact"/>
        <w:ind w:firstLine="630" w:firstLineChars="200"/>
        <w:textAlignment w:val="auto"/>
        <w:outlineLvl w:val="0"/>
        <w:rPr>
          <w:rFonts w:ascii="黑体" w:hAnsi="宋体" w:eastAsia="黑体" w:cs="宋体"/>
          <w:szCs w:val="30"/>
          <w:highlight w:val="none"/>
          <w:shd w:val="clear" w:color="auto" w:fill="FFFFFF" w:themeFill="background1"/>
        </w:rPr>
      </w:pPr>
      <w:bookmarkStart w:id="77" w:name="_Toc7396"/>
      <w:r>
        <w:rPr>
          <w:rFonts w:hint="eastAsia" w:ascii="黑体" w:hAnsi="宋体" w:eastAsia="黑体" w:cs="宋体"/>
          <w:szCs w:val="30"/>
          <w:highlight w:val="none"/>
          <w:shd w:val="clear" w:color="auto" w:fill="FFFFFF" w:themeFill="background1"/>
        </w:rPr>
        <w:t>七、附件</w:t>
      </w:r>
      <w:bookmarkEnd w:id="75"/>
      <w:bookmarkEnd w:id="76"/>
      <w:bookmarkEnd w:id="77"/>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1.重庆市梁平区自主可控功率半导体离散型智能制造车间建设项目绩效评价指标表；</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2.重庆市梁平区自主可控功率半导体离散型智能制造车间建设项目绩效评价调查问卷；</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3.重庆市梁平区自主可控功率半导体离散型智能制造车间建设项目绩效评价访谈记录；</w:t>
      </w:r>
    </w:p>
    <w:p>
      <w:pPr>
        <w:keepNext w:val="0"/>
        <w:keepLines w:val="0"/>
        <w:pageBreakBefore w:val="0"/>
        <w:widowControl w:val="0"/>
        <w:kinsoku/>
        <w:wordWrap/>
        <w:overflowPunct/>
        <w:topLinePunct w:val="0"/>
        <w:autoSpaceDE/>
        <w:autoSpaceDN/>
        <w:bidi w:val="0"/>
        <w:adjustRightInd/>
        <w:snapToGrid/>
        <w:spacing w:line="600" w:lineRule="exact"/>
        <w:ind w:firstLine="630" w:firstLineChars="200"/>
        <w:jc w:val="both"/>
        <w:textAlignment w:val="auto"/>
        <w:rPr>
          <w:rFonts w:hint="eastAsia" w:hAnsi="仿宋" w:cs="Times New Roman"/>
          <w:szCs w:val="30"/>
          <w:highlight w:val="none"/>
          <w:lang w:val="en-US" w:eastAsia="zh-CN"/>
        </w:rPr>
      </w:pPr>
      <w:r>
        <w:rPr>
          <w:rFonts w:hint="eastAsia" w:hAnsi="仿宋" w:cs="Times New Roman"/>
          <w:szCs w:val="30"/>
          <w:highlight w:val="none"/>
          <w:lang w:val="en-US" w:eastAsia="zh-CN"/>
        </w:rPr>
        <w:t>4.重庆市梁平区自主可控功率半导体离散型智能制造车间建设项目绩效评价图片资料。</w:t>
      </w:r>
    </w:p>
    <w:sectPr>
      <w:footerReference r:id="rId5" w:type="default"/>
      <w:footerReference r:id="rId6" w:type="even"/>
      <w:pgSz w:w="11906" w:h="16838"/>
      <w:pgMar w:top="2098" w:right="1474" w:bottom="1985" w:left="1588" w:header="851" w:footer="1474" w:gutter="0"/>
      <w:pgNumType w:start="1"/>
      <w:cols w:space="425" w:num="1"/>
      <w:docGrid w:type="linesAndChars" w:linePitch="579" w:charSpace="32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A8D05E-B35D-4DE2-B98F-7D0230701D6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C87087A-7EC7-447C-84F4-2F00CB377951}"/>
  </w:font>
  <w:font w:name="仿宋">
    <w:panose1 w:val="02010609060101010101"/>
    <w:charset w:val="86"/>
    <w:family w:val="modern"/>
    <w:pitch w:val="default"/>
    <w:sig w:usb0="800002BF" w:usb1="38CF7CFA" w:usb2="00000016" w:usb3="00000000" w:csb0="00040001" w:csb1="00000000"/>
    <w:embedRegular r:id="rId3" w:fontKey="{0566249A-52AC-4814-B7B1-C690D7D511F5}"/>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auto"/>
    <w:pitch w:val="default"/>
    <w:sig w:usb0="00000001" w:usb1="08000000" w:usb2="00000000" w:usb3="00000000" w:csb0="00040000" w:csb1="00000000"/>
    <w:embedRegular r:id="rId4" w:fontKey="{3C7D53F0-3C98-4A83-A98E-DAA66E7363D3}"/>
  </w:font>
  <w:font w:name="楷体">
    <w:panose1 w:val="02010609060101010101"/>
    <w:charset w:val="86"/>
    <w:family w:val="modern"/>
    <w:pitch w:val="default"/>
    <w:sig w:usb0="800002BF" w:usb1="38CF7CFA" w:usb2="00000016" w:usb3="00000000" w:csb0="00040001" w:csb1="00000000"/>
    <w:embedRegular r:id="rId5" w:fontKey="{47DFC984-4DB0-4FAF-A34B-703123C9A427}"/>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仿宋" w:hAnsi="仿宋" w:eastAsia="仿宋"/>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2"/>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仿宋" w:hAnsi="仿宋" w:eastAsia="仿宋"/>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2"/>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fldChar w:fldCharType="begin"/>
    </w:r>
    <w:r>
      <w:rPr>
        <w:rFonts w:ascii="仿宋" w:hAnsi="仿宋" w:eastAsia="仿宋"/>
        <w:sz w:val="28"/>
        <w:szCs w:val="28"/>
      </w:rPr>
      <w:instrText xml:space="preserve">PAGE   \* MERGEFORMAT</w:instrText>
    </w:r>
    <w:r>
      <w:rPr>
        <w:rFonts w:ascii="仿宋" w:hAnsi="仿宋" w:eastAsia="仿宋"/>
        <w:sz w:val="28"/>
        <w:szCs w:val="28"/>
      </w:rPr>
      <w:fldChar w:fldCharType="separate"/>
    </w:r>
    <w:r>
      <w:rPr>
        <w:rFonts w:ascii="仿宋" w:hAnsi="仿宋" w:eastAsia="仿宋"/>
        <w:sz w:val="28"/>
        <w:szCs w:val="28"/>
        <w:lang w:val="zh-CN"/>
      </w:rPr>
      <w:t>15</w:t>
    </w:r>
    <w:r>
      <w:rPr>
        <w:rFonts w:ascii="仿宋" w:hAnsi="仿宋" w:eastAsia="仿宋"/>
        <w:sz w:val="28"/>
        <w:szCs w:val="28"/>
      </w:rPr>
      <w:fldChar w:fldCharType="end"/>
    </w:r>
    <w:r>
      <w:rPr>
        <w:rFonts w:ascii="仿宋" w:hAnsi="仿宋" w:eastAsia="仿宋"/>
        <w:sz w:val="28"/>
        <w:szCs w:val="28"/>
      </w:rPr>
      <w:t xml:space="preserve"> </w:t>
    </w:r>
    <w:r>
      <w:rPr>
        <w:rFonts w:hint="eastAsia" w:ascii="仿宋" w:hAnsi="仿宋" w:eastAsia="仿宋"/>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fldChar w:fldCharType="begin"/>
    </w:r>
    <w:r>
      <w:rPr>
        <w:rFonts w:ascii="仿宋" w:hAnsi="仿宋" w:eastAsia="仿宋"/>
        <w:sz w:val="28"/>
        <w:szCs w:val="28"/>
      </w:rPr>
      <w:instrText xml:space="preserve">PAGE   \* MERGEFORMAT</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t xml:space="preserve"> </w:t>
    </w:r>
    <w:r>
      <w:rPr>
        <w:rFonts w:hint="eastAsia" w:ascii="仿宋" w:hAnsi="仿宋" w:eastAsia="仿宋"/>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removePersonalInformation/>
  <w:embedTrueTypeFonts/>
  <w:saveSubsetFonts/>
  <w:bordersDoNotSurroundHeader w:val="0"/>
  <w:bordersDoNotSurroundFooter w:val="0"/>
  <w:documentProtection w:enforcement="0"/>
  <w:defaultTabStop w:val="420"/>
  <w:evenAndOddHeaders w:val="1"/>
  <w:drawingGridHorizontalSpacing w:val="158"/>
  <w:drawingGridVerticalSpacing w:val="57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wMjA3MWNlMGI0N2JmNzJjMzg3NzkxOTUxZGM1ZTAifQ=="/>
  </w:docVars>
  <w:rsids>
    <w:rsidRoot w:val="00763D8D"/>
    <w:rsid w:val="00000BF7"/>
    <w:rsid w:val="0000192C"/>
    <w:rsid w:val="000027B8"/>
    <w:rsid w:val="00003457"/>
    <w:rsid w:val="00004A5E"/>
    <w:rsid w:val="000053D4"/>
    <w:rsid w:val="0000546D"/>
    <w:rsid w:val="00006D42"/>
    <w:rsid w:val="00007194"/>
    <w:rsid w:val="000101DC"/>
    <w:rsid w:val="000109E6"/>
    <w:rsid w:val="00011162"/>
    <w:rsid w:val="000127D9"/>
    <w:rsid w:val="00014BDC"/>
    <w:rsid w:val="000163D2"/>
    <w:rsid w:val="000166DD"/>
    <w:rsid w:val="0002096B"/>
    <w:rsid w:val="00021B6D"/>
    <w:rsid w:val="00022FAF"/>
    <w:rsid w:val="00022FFA"/>
    <w:rsid w:val="00023C58"/>
    <w:rsid w:val="00023FF0"/>
    <w:rsid w:val="000257AB"/>
    <w:rsid w:val="000302F4"/>
    <w:rsid w:val="00030BA6"/>
    <w:rsid w:val="00030F5A"/>
    <w:rsid w:val="0003170A"/>
    <w:rsid w:val="00032A27"/>
    <w:rsid w:val="00032BAE"/>
    <w:rsid w:val="00033669"/>
    <w:rsid w:val="000337F5"/>
    <w:rsid w:val="00034FDC"/>
    <w:rsid w:val="00035563"/>
    <w:rsid w:val="00035636"/>
    <w:rsid w:val="00035EFB"/>
    <w:rsid w:val="00036708"/>
    <w:rsid w:val="000377E6"/>
    <w:rsid w:val="000379A2"/>
    <w:rsid w:val="00037F46"/>
    <w:rsid w:val="0004014B"/>
    <w:rsid w:val="0004386F"/>
    <w:rsid w:val="00044EEC"/>
    <w:rsid w:val="00046291"/>
    <w:rsid w:val="00046463"/>
    <w:rsid w:val="00046C81"/>
    <w:rsid w:val="00047EF1"/>
    <w:rsid w:val="00050813"/>
    <w:rsid w:val="00052293"/>
    <w:rsid w:val="000542F1"/>
    <w:rsid w:val="000549A1"/>
    <w:rsid w:val="000551AB"/>
    <w:rsid w:val="000551E7"/>
    <w:rsid w:val="00055F69"/>
    <w:rsid w:val="00056803"/>
    <w:rsid w:val="00060BC6"/>
    <w:rsid w:val="00062CFB"/>
    <w:rsid w:val="00062EDE"/>
    <w:rsid w:val="000641F0"/>
    <w:rsid w:val="000660A0"/>
    <w:rsid w:val="0006695F"/>
    <w:rsid w:val="00066DAD"/>
    <w:rsid w:val="000677D9"/>
    <w:rsid w:val="00070AC0"/>
    <w:rsid w:val="0007217F"/>
    <w:rsid w:val="00072E67"/>
    <w:rsid w:val="00073C73"/>
    <w:rsid w:val="00075831"/>
    <w:rsid w:val="000761D2"/>
    <w:rsid w:val="00077515"/>
    <w:rsid w:val="00077EF6"/>
    <w:rsid w:val="0008006D"/>
    <w:rsid w:val="0008111C"/>
    <w:rsid w:val="000811F8"/>
    <w:rsid w:val="00082438"/>
    <w:rsid w:val="0008270C"/>
    <w:rsid w:val="000829E7"/>
    <w:rsid w:val="00082DC6"/>
    <w:rsid w:val="00083BDC"/>
    <w:rsid w:val="000910C9"/>
    <w:rsid w:val="000913F5"/>
    <w:rsid w:val="00091BE1"/>
    <w:rsid w:val="000926D7"/>
    <w:rsid w:val="00093656"/>
    <w:rsid w:val="00094A13"/>
    <w:rsid w:val="00095539"/>
    <w:rsid w:val="00096B29"/>
    <w:rsid w:val="00096B43"/>
    <w:rsid w:val="000A14D7"/>
    <w:rsid w:val="000A2608"/>
    <w:rsid w:val="000A2BE7"/>
    <w:rsid w:val="000A3ED9"/>
    <w:rsid w:val="000A4204"/>
    <w:rsid w:val="000A4562"/>
    <w:rsid w:val="000A4733"/>
    <w:rsid w:val="000A60AC"/>
    <w:rsid w:val="000A6B31"/>
    <w:rsid w:val="000A7505"/>
    <w:rsid w:val="000B053E"/>
    <w:rsid w:val="000B36CB"/>
    <w:rsid w:val="000B4697"/>
    <w:rsid w:val="000B7C9B"/>
    <w:rsid w:val="000C03A5"/>
    <w:rsid w:val="000C04DE"/>
    <w:rsid w:val="000C0984"/>
    <w:rsid w:val="000C0A0B"/>
    <w:rsid w:val="000C0DD7"/>
    <w:rsid w:val="000C1909"/>
    <w:rsid w:val="000C19BE"/>
    <w:rsid w:val="000C26F7"/>
    <w:rsid w:val="000C3437"/>
    <w:rsid w:val="000C3CE0"/>
    <w:rsid w:val="000C5033"/>
    <w:rsid w:val="000C724C"/>
    <w:rsid w:val="000D15BC"/>
    <w:rsid w:val="000D1D26"/>
    <w:rsid w:val="000D21D2"/>
    <w:rsid w:val="000D4F73"/>
    <w:rsid w:val="000D71DD"/>
    <w:rsid w:val="000D7BEF"/>
    <w:rsid w:val="000E17FE"/>
    <w:rsid w:val="000E21D8"/>
    <w:rsid w:val="000E34C7"/>
    <w:rsid w:val="000E3B80"/>
    <w:rsid w:val="000E3E37"/>
    <w:rsid w:val="000E6F75"/>
    <w:rsid w:val="000E7A98"/>
    <w:rsid w:val="000F0C7D"/>
    <w:rsid w:val="000F1534"/>
    <w:rsid w:val="000F2D28"/>
    <w:rsid w:val="000F3E60"/>
    <w:rsid w:val="000F46ED"/>
    <w:rsid w:val="000F6595"/>
    <w:rsid w:val="000F688D"/>
    <w:rsid w:val="000F7A19"/>
    <w:rsid w:val="001000B3"/>
    <w:rsid w:val="00101AEB"/>
    <w:rsid w:val="00101F7B"/>
    <w:rsid w:val="001021B6"/>
    <w:rsid w:val="001034F4"/>
    <w:rsid w:val="0010363D"/>
    <w:rsid w:val="001057EB"/>
    <w:rsid w:val="00106628"/>
    <w:rsid w:val="00106A8B"/>
    <w:rsid w:val="00106CA6"/>
    <w:rsid w:val="001075E2"/>
    <w:rsid w:val="00107FE9"/>
    <w:rsid w:val="00110D2C"/>
    <w:rsid w:val="001114F0"/>
    <w:rsid w:val="001129FD"/>
    <w:rsid w:val="00112E14"/>
    <w:rsid w:val="00114580"/>
    <w:rsid w:val="001146BA"/>
    <w:rsid w:val="00116445"/>
    <w:rsid w:val="00116503"/>
    <w:rsid w:val="0011663B"/>
    <w:rsid w:val="00122361"/>
    <w:rsid w:val="001232BD"/>
    <w:rsid w:val="00124FFE"/>
    <w:rsid w:val="00125078"/>
    <w:rsid w:val="00125D9C"/>
    <w:rsid w:val="001269BA"/>
    <w:rsid w:val="0012754D"/>
    <w:rsid w:val="001308E4"/>
    <w:rsid w:val="00133C7B"/>
    <w:rsid w:val="001342CF"/>
    <w:rsid w:val="001343C2"/>
    <w:rsid w:val="00134491"/>
    <w:rsid w:val="0013789D"/>
    <w:rsid w:val="00141016"/>
    <w:rsid w:val="00142242"/>
    <w:rsid w:val="00142E81"/>
    <w:rsid w:val="001439E1"/>
    <w:rsid w:val="00147856"/>
    <w:rsid w:val="00147F84"/>
    <w:rsid w:val="00150F3E"/>
    <w:rsid w:val="00150F9F"/>
    <w:rsid w:val="001513E5"/>
    <w:rsid w:val="00152B2B"/>
    <w:rsid w:val="001537D8"/>
    <w:rsid w:val="00153BC6"/>
    <w:rsid w:val="00155A7C"/>
    <w:rsid w:val="00157E96"/>
    <w:rsid w:val="00157FCB"/>
    <w:rsid w:val="0016011B"/>
    <w:rsid w:val="00161452"/>
    <w:rsid w:val="0016167B"/>
    <w:rsid w:val="0016202B"/>
    <w:rsid w:val="0016290B"/>
    <w:rsid w:val="00162B90"/>
    <w:rsid w:val="00163A50"/>
    <w:rsid w:val="00166CBA"/>
    <w:rsid w:val="00167E57"/>
    <w:rsid w:val="001722F7"/>
    <w:rsid w:val="00174A28"/>
    <w:rsid w:val="00175976"/>
    <w:rsid w:val="00175B68"/>
    <w:rsid w:val="00175CE1"/>
    <w:rsid w:val="00181674"/>
    <w:rsid w:val="00182613"/>
    <w:rsid w:val="001836BB"/>
    <w:rsid w:val="00183D89"/>
    <w:rsid w:val="001844AE"/>
    <w:rsid w:val="00184577"/>
    <w:rsid w:val="001874D1"/>
    <w:rsid w:val="001875A2"/>
    <w:rsid w:val="0018788E"/>
    <w:rsid w:val="001905A5"/>
    <w:rsid w:val="00193831"/>
    <w:rsid w:val="001943BB"/>
    <w:rsid w:val="00197DA6"/>
    <w:rsid w:val="001A0FB3"/>
    <w:rsid w:val="001A2410"/>
    <w:rsid w:val="001A278F"/>
    <w:rsid w:val="001A2BEC"/>
    <w:rsid w:val="001A2D6F"/>
    <w:rsid w:val="001A4442"/>
    <w:rsid w:val="001A644B"/>
    <w:rsid w:val="001A6AC5"/>
    <w:rsid w:val="001A71AB"/>
    <w:rsid w:val="001A723C"/>
    <w:rsid w:val="001A77EE"/>
    <w:rsid w:val="001A7B0F"/>
    <w:rsid w:val="001B1B18"/>
    <w:rsid w:val="001B4330"/>
    <w:rsid w:val="001B4784"/>
    <w:rsid w:val="001B5713"/>
    <w:rsid w:val="001B6BA6"/>
    <w:rsid w:val="001B7B75"/>
    <w:rsid w:val="001C2A75"/>
    <w:rsid w:val="001C440B"/>
    <w:rsid w:val="001D01EA"/>
    <w:rsid w:val="001D1FCF"/>
    <w:rsid w:val="001D315D"/>
    <w:rsid w:val="001D3AC2"/>
    <w:rsid w:val="001D3D90"/>
    <w:rsid w:val="001D3E24"/>
    <w:rsid w:val="001D49D8"/>
    <w:rsid w:val="001D4D56"/>
    <w:rsid w:val="001D4E03"/>
    <w:rsid w:val="001D58D7"/>
    <w:rsid w:val="001D7627"/>
    <w:rsid w:val="001D77A5"/>
    <w:rsid w:val="001E07CC"/>
    <w:rsid w:val="001E0D74"/>
    <w:rsid w:val="001E3021"/>
    <w:rsid w:val="001E3E6D"/>
    <w:rsid w:val="001E410D"/>
    <w:rsid w:val="001E5EB9"/>
    <w:rsid w:val="001E6E29"/>
    <w:rsid w:val="001E713D"/>
    <w:rsid w:val="001E7507"/>
    <w:rsid w:val="001F0116"/>
    <w:rsid w:val="001F106E"/>
    <w:rsid w:val="001F1285"/>
    <w:rsid w:val="001F1844"/>
    <w:rsid w:val="001F1E4B"/>
    <w:rsid w:val="001F27A8"/>
    <w:rsid w:val="001F3303"/>
    <w:rsid w:val="001F3638"/>
    <w:rsid w:val="001F46E7"/>
    <w:rsid w:val="001F566D"/>
    <w:rsid w:val="001F76DC"/>
    <w:rsid w:val="00200263"/>
    <w:rsid w:val="00201C2D"/>
    <w:rsid w:val="00201D2A"/>
    <w:rsid w:val="00203FBC"/>
    <w:rsid w:val="0020633B"/>
    <w:rsid w:val="002115B2"/>
    <w:rsid w:val="00212FA7"/>
    <w:rsid w:val="00214484"/>
    <w:rsid w:val="002153D9"/>
    <w:rsid w:val="00216199"/>
    <w:rsid w:val="00216653"/>
    <w:rsid w:val="00217860"/>
    <w:rsid w:val="00217869"/>
    <w:rsid w:val="0021797F"/>
    <w:rsid w:val="00217AA8"/>
    <w:rsid w:val="0022120B"/>
    <w:rsid w:val="002213E8"/>
    <w:rsid w:val="002229E2"/>
    <w:rsid w:val="0022365E"/>
    <w:rsid w:val="00224A4E"/>
    <w:rsid w:val="002260C9"/>
    <w:rsid w:val="00226E95"/>
    <w:rsid w:val="0022714D"/>
    <w:rsid w:val="00227678"/>
    <w:rsid w:val="002279A9"/>
    <w:rsid w:val="00227EAF"/>
    <w:rsid w:val="00230719"/>
    <w:rsid w:val="00230986"/>
    <w:rsid w:val="00230C67"/>
    <w:rsid w:val="00235C5D"/>
    <w:rsid w:val="002367E9"/>
    <w:rsid w:val="0024048A"/>
    <w:rsid w:val="00241D8C"/>
    <w:rsid w:val="002422DC"/>
    <w:rsid w:val="00243422"/>
    <w:rsid w:val="00243F53"/>
    <w:rsid w:val="00246276"/>
    <w:rsid w:val="00246D1C"/>
    <w:rsid w:val="002504CE"/>
    <w:rsid w:val="00250C3E"/>
    <w:rsid w:val="00251346"/>
    <w:rsid w:val="00252062"/>
    <w:rsid w:val="00252898"/>
    <w:rsid w:val="002532A4"/>
    <w:rsid w:val="00253530"/>
    <w:rsid w:val="00254804"/>
    <w:rsid w:val="00254B91"/>
    <w:rsid w:val="002554E5"/>
    <w:rsid w:val="002567E0"/>
    <w:rsid w:val="00256D4E"/>
    <w:rsid w:val="00260580"/>
    <w:rsid w:val="002606F4"/>
    <w:rsid w:val="00263197"/>
    <w:rsid w:val="00263303"/>
    <w:rsid w:val="0026550F"/>
    <w:rsid w:val="002679F0"/>
    <w:rsid w:val="00273974"/>
    <w:rsid w:val="002739C1"/>
    <w:rsid w:val="00273D83"/>
    <w:rsid w:val="00274648"/>
    <w:rsid w:val="0027536C"/>
    <w:rsid w:val="00276655"/>
    <w:rsid w:val="00276FE6"/>
    <w:rsid w:val="00277ACC"/>
    <w:rsid w:val="002804FF"/>
    <w:rsid w:val="00282CC8"/>
    <w:rsid w:val="00283F38"/>
    <w:rsid w:val="002841A5"/>
    <w:rsid w:val="00284571"/>
    <w:rsid w:val="00284FAE"/>
    <w:rsid w:val="00285265"/>
    <w:rsid w:val="0028629E"/>
    <w:rsid w:val="002879FC"/>
    <w:rsid w:val="00290595"/>
    <w:rsid w:val="002917E5"/>
    <w:rsid w:val="0029356B"/>
    <w:rsid w:val="002943F1"/>
    <w:rsid w:val="002A020A"/>
    <w:rsid w:val="002A110B"/>
    <w:rsid w:val="002A1DF7"/>
    <w:rsid w:val="002A5AD2"/>
    <w:rsid w:val="002A5E1D"/>
    <w:rsid w:val="002A6EAA"/>
    <w:rsid w:val="002B1B83"/>
    <w:rsid w:val="002B3367"/>
    <w:rsid w:val="002B3F00"/>
    <w:rsid w:val="002B4FB5"/>
    <w:rsid w:val="002B550D"/>
    <w:rsid w:val="002B7B5E"/>
    <w:rsid w:val="002C0E58"/>
    <w:rsid w:val="002C10A5"/>
    <w:rsid w:val="002C10E4"/>
    <w:rsid w:val="002C25A8"/>
    <w:rsid w:val="002C38A5"/>
    <w:rsid w:val="002C46F4"/>
    <w:rsid w:val="002C555C"/>
    <w:rsid w:val="002C76FF"/>
    <w:rsid w:val="002D1D67"/>
    <w:rsid w:val="002D272B"/>
    <w:rsid w:val="002D2E72"/>
    <w:rsid w:val="002D3C45"/>
    <w:rsid w:val="002D40A4"/>
    <w:rsid w:val="002D41E3"/>
    <w:rsid w:val="002D498A"/>
    <w:rsid w:val="002D52E6"/>
    <w:rsid w:val="002D55A2"/>
    <w:rsid w:val="002D7018"/>
    <w:rsid w:val="002E06C9"/>
    <w:rsid w:val="002E1041"/>
    <w:rsid w:val="002E19DF"/>
    <w:rsid w:val="002E2010"/>
    <w:rsid w:val="002E280F"/>
    <w:rsid w:val="002E2E4B"/>
    <w:rsid w:val="002E3500"/>
    <w:rsid w:val="002E4061"/>
    <w:rsid w:val="002E4D77"/>
    <w:rsid w:val="002E564F"/>
    <w:rsid w:val="002E5BDD"/>
    <w:rsid w:val="002E60CA"/>
    <w:rsid w:val="002F003B"/>
    <w:rsid w:val="002F0F44"/>
    <w:rsid w:val="002F103E"/>
    <w:rsid w:val="002F4221"/>
    <w:rsid w:val="002F516E"/>
    <w:rsid w:val="002F59F0"/>
    <w:rsid w:val="002F7B1F"/>
    <w:rsid w:val="002F7BE7"/>
    <w:rsid w:val="0030049E"/>
    <w:rsid w:val="003008B1"/>
    <w:rsid w:val="00301F5D"/>
    <w:rsid w:val="003020B9"/>
    <w:rsid w:val="003052E9"/>
    <w:rsid w:val="003058DF"/>
    <w:rsid w:val="00306137"/>
    <w:rsid w:val="00306210"/>
    <w:rsid w:val="00306DAF"/>
    <w:rsid w:val="00307963"/>
    <w:rsid w:val="00307B63"/>
    <w:rsid w:val="003116BB"/>
    <w:rsid w:val="00312D3C"/>
    <w:rsid w:val="0031301F"/>
    <w:rsid w:val="00313C52"/>
    <w:rsid w:val="00315E31"/>
    <w:rsid w:val="00316E73"/>
    <w:rsid w:val="00321FF5"/>
    <w:rsid w:val="00324372"/>
    <w:rsid w:val="00325F12"/>
    <w:rsid w:val="003270CD"/>
    <w:rsid w:val="003305B8"/>
    <w:rsid w:val="0033130B"/>
    <w:rsid w:val="00331DBA"/>
    <w:rsid w:val="00331FFC"/>
    <w:rsid w:val="003324A4"/>
    <w:rsid w:val="0033472D"/>
    <w:rsid w:val="0033489A"/>
    <w:rsid w:val="003367C0"/>
    <w:rsid w:val="00337520"/>
    <w:rsid w:val="0033762E"/>
    <w:rsid w:val="003415F5"/>
    <w:rsid w:val="00341BAC"/>
    <w:rsid w:val="003425DA"/>
    <w:rsid w:val="0034304B"/>
    <w:rsid w:val="00343294"/>
    <w:rsid w:val="00343DE1"/>
    <w:rsid w:val="00343DF2"/>
    <w:rsid w:val="0034452B"/>
    <w:rsid w:val="00346123"/>
    <w:rsid w:val="00347579"/>
    <w:rsid w:val="00347950"/>
    <w:rsid w:val="00352622"/>
    <w:rsid w:val="00353796"/>
    <w:rsid w:val="003568A8"/>
    <w:rsid w:val="00357576"/>
    <w:rsid w:val="00361F82"/>
    <w:rsid w:val="0036462D"/>
    <w:rsid w:val="0036565B"/>
    <w:rsid w:val="00365B28"/>
    <w:rsid w:val="003702E3"/>
    <w:rsid w:val="0037162D"/>
    <w:rsid w:val="00371BB6"/>
    <w:rsid w:val="00371CAA"/>
    <w:rsid w:val="003729B4"/>
    <w:rsid w:val="003736B9"/>
    <w:rsid w:val="00375367"/>
    <w:rsid w:val="00375AF4"/>
    <w:rsid w:val="00375B9F"/>
    <w:rsid w:val="003761AE"/>
    <w:rsid w:val="00376534"/>
    <w:rsid w:val="00376A60"/>
    <w:rsid w:val="00380118"/>
    <w:rsid w:val="00380478"/>
    <w:rsid w:val="003807BD"/>
    <w:rsid w:val="00381F0D"/>
    <w:rsid w:val="00382587"/>
    <w:rsid w:val="0038336A"/>
    <w:rsid w:val="00384495"/>
    <w:rsid w:val="0038451A"/>
    <w:rsid w:val="003872CC"/>
    <w:rsid w:val="003903E7"/>
    <w:rsid w:val="00392745"/>
    <w:rsid w:val="00393295"/>
    <w:rsid w:val="00393B6B"/>
    <w:rsid w:val="003944DA"/>
    <w:rsid w:val="0039487A"/>
    <w:rsid w:val="00394B39"/>
    <w:rsid w:val="00395241"/>
    <w:rsid w:val="00396E5F"/>
    <w:rsid w:val="00397EFA"/>
    <w:rsid w:val="003A3987"/>
    <w:rsid w:val="003A3F6D"/>
    <w:rsid w:val="003A5711"/>
    <w:rsid w:val="003A6AB4"/>
    <w:rsid w:val="003B1217"/>
    <w:rsid w:val="003B1969"/>
    <w:rsid w:val="003B1F82"/>
    <w:rsid w:val="003B2603"/>
    <w:rsid w:val="003B355C"/>
    <w:rsid w:val="003B5FE1"/>
    <w:rsid w:val="003B6399"/>
    <w:rsid w:val="003B6526"/>
    <w:rsid w:val="003B6702"/>
    <w:rsid w:val="003B7387"/>
    <w:rsid w:val="003B74B5"/>
    <w:rsid w:val="003C51F3"/>
    <w:rsid w:val="003C5A1E"/>
    <w:rsid w:val="003C7979"/>
    <w:rsid w:val="003D112A"/>
    <w:rsid w:val="003D12B5"/>
    <w:rsid w:val="003D2104"/>
    <w:rsid w:val="003D28A5"/>
    <w:rsid w:val="003D35C0"/>
    <w:rsid w:val="003D6830"/>
    <w:rsid w:val="003D6AB9"/>
    <w:rsid w:val="003E0E49"/>
    <w:rsid w:val="003E28AB"/>
    <w:rsid w:val="003E2900"/>
    <w:rsid w:val="003E37CD"/>
    <w:rsid w:val="003E47B1"/>
    <w:rsid w:val="003E487F"/>
    <w:rsid w:val="003E4C18"/>
    <w:rsid w:val="003E643E"/>
    <w:rsid w:val="003F1515"/>
    <w:rsid w:val="003F16E7"/>
    <w:rsid w:val="003F402E"/>
    <w:rsid w:val="003F4EBD"/>
    <w:rsid w:val="003F538F"/>
    <w:rsid w:val="003F6354"/>
    <w:rsid w:val="003F7572"/>
    <w:rsid w:val="004008F6"/>
    <w:rsid w:val="00400D06"/>
    <w:rsid w:val="00401846"/>
    <w:rsid w:val="00401C47"/>
    <w:rsid w:val="004022F8"/>
    <w:rsid w:val="00402355"/>
    <w:rsid w:val="0040239B"/>
    <w:rsid w:val="00402CE7"/>
    <w:rsid w:val="00404856"/>
    <w:rsid w:val="00405226"/>
    <w:rsid w:val="00405C75"/>
    <w:rsid w:val="00406C25"/>
    <w:rsid w:val="00406D6A"/>
    <w:rsid w:val="00411F68"/>
    <w:rsid w:val="00420BEC"/>
    <w:rsid w:val="00420C33"/>
    <w:rsid w:val="0042251D"/>
    <w:rsid w:val="0042485D"/>
    <w:rsid w:val="00426FE5"/>
    <w:rsid w:val="004272A6"/>
    <w:rsid w:val="00430D86"/>
    <w:rsid w:val="0043119F"/>
    <w:rsid w:val="00431A08"/>
    <w:rsid w:val="00433CAA"/>
    <w:rsid w:val="004359F3"/>
    <w:rsid w:val="00436B3B"/>
    <w:rsid w:val="004377F4"/>
    <w:rsid w:val="00437980"/>
    <w:rsid w:val="00437A98"/>
    <w:rsid w:val="004401ED"/>
    <w:rsid w:val="00440843"/>
    <w:rsid w:val="0044349C"/>
    <w:rsid w:val="004519C9"/>
    <w:rsid w:val="00452585"/>
    <w:rsid w:val="00452895"/>
    <w:rsid w:val="00453319"/>
    <w:rsid w:val="004542C8"/>
    <w:rsid w:val="004549D1"/>
    <w:rsid w:val="00456C53"/>
    <w:rsid w:val="00457099"/>
    <w:rsid w:val="004603F2"/>
    <w:rsid w:val="00460658"/>
    <w:rsid w:val="0046069E"/>
    <w:rsid w:val="00460E4C"/>
    <w:rsid w:val="00462343"/>
    <w:rsid w:val="00462AED"/>
    <w:rsid w:val="0046471E"/>
    <w:rsid w:val="00464A91"/>
    <w:rsid w:val="00465B8C"/>
    <w:rsid w:val="00466B69"/>
    <w:rsid w:val="004671F2"/>
    <w:rsid w:val="0047160B"/>
    <w:rsid w:val="00472258"/>
    <w:rsid w:val="004724AE"/>
    <w:rsid w:val="00474787"/>
    <w:rsid w:val="00474870"/>
    <w:rsid w:val="0047494F"/>
    <w:rsid w:val="0048081D"/>
    <w:rsid w:val="0048089A"/>
    <w:rsid w:val="004811D4"/>
    <w:rsid w:val="0048132C"/>
    <w:rsid w:val="004839EA"/>
    <w:rsid w:val="00483DAB"/>
    <w:rsid w:val="00484612"/>
    <w:rsid w:val="00485763"/>
    <w:rsid w:val="004857D3"/>
    <w:rsid w:val="004860CD"/>
    <w:rsid w:val="004866EA"/>
    <w:rsid w:val="004870F8"/>
    <w:rsid w:val="00490E42"/>
    <w:rsid w:val="004912D1"/>
    <w:rsid w:val="004949AC"/>
    <w:rsid w:val="00495603"/>
    <w:rsid w:val="004973D7"/>
    <w:rsid w:val="004A0A75"/>
    <w:rsid w:val="004A3DDB"/>
    <w:rsid w:val="004A4700"/>
    <w:rsid w:val="004A6253"/>
    <w:rsid w:val="004A69CE"/>
    <w:rsid w:val="004A711A"/>
    <w:rsid w:val="004A7F4C"/>
    <w:rsid w:val="004B1847"/>
    <w:rsid w:val="004B1DED"/>
    <w:rsid w:val="004B34FB"/>
    <w:rsid w:val="004B448D"/>
    <w:rsid w:val="004B4C22"/>
    <w:rsid w:val="004B5256"/>
    <w:rsid w:val="004C0D33"/>
    <w:rsid w:val="004C28CA"/>
    <w:rsid w:val="004C324D"/>
    <w:rsid w:val="004C4FBD"/>
    <w:rsid w:val="004C51F5"/>
    <w:rsid w:val="004C5D7B"/>
    <w:rsid w:val="004C6BF0"/>
    <w:rsid w:val="004C708C"/>
    <w:rsid w:val="004C73DA"/>
    <w:rsid w:val="004C7539"/>
    <w:rsid w:val="004D0D4D"/>
    <w:rsid w:val="004D1126"/>
    <w:rsid w:val="004D2649"/>
    <w:rsid w:val="004D31B0"/>
    <w:rsid w:val="004D34AD"/>
    <w:rsid w:val="004D3EA6"/>
    <w:rsid w:val="004D44CC"/>
    <w:rsid w:val="004D56F5"/>
    <w:rsid w:val="004D59C6"/>
    <w:rsid w:val="004D5F2D"/>
    <w:rsid w:val="004D678B"/>
    <w:rsid w:val="004E013B"/>
    <w:rsid w:val="004E0816"/>
    <w:rsid w:val="004E0906"/>
    <w:rsid w:val="004E4130"/>
    <w:rsid w:val="004E4274"/>
    <w:rsid w:val="004E446B"/>
    <w:rsid w:val="004E57A2"/>
    <w:rsid w:val="004E5E85"/>
    <w:rsid w:val="004E710D"/>
    <w:rsid w:val="004E7F0C"/>
    <w:rsid w:val="004F0288"/>
    <w:rsid w:val="004F0B47"/>
    <w:rsid w:val="004F17F6"/>
    <w:rsid w:val="004F1A6A"/>
    <w:rsid w:val="004F2D57"/>
    <w:rsid w:val="004F3B05"/>
    <w:rsid w:val="004F43AA"/>
    <w:rsid w:val="004F47FC"/>
    <w:rsid w:val="004F5DE3"/>
    <w:rsid w:val="004F6CCC"/>
    <w:rsid w:val="00500A56"/>
    <w:rsid w:val="00501ECD"/>
    <w:rsid w:val="00502B12"/>
    <w:rsid w:val="00503777"/>
    <w:rsid w:val="00503A41"/>
    <w:rsid w:val="00507782"/>
    <w:rsid w:val="005102A2"/>
    <w:rsid w:val="00510BAB"/>
    <w:rsid w:val="005125B9"/>
    <w:rsid w:val="00512780"/>
    <w:rsid w:val="005134ED"/>
    <w:rsid w:val="00513D7D"/>
    <w:rsid w:val="00514330"/>
    <w:rsid w:val="00514671"/>
    <w:rsid w:val="005156BB"/>
    <w:rsid w:val="00515734"/>
    <w:rsid w:val="0051605C"/>
    <w:rsid w:val="00516DA5"/>
    <w:rsid w:val="00520716"/>
    <w:rsid w:val="005214C2"/>
    <w:rsid w:val="00521805"/>
    <w:rsid w:val="00522A6C"/>
    <w:rsid w:val="00523774"/>
    <w:rsid w:val="00526431"/>
    <w:rsid w:val="005300BA"/>
    <w:rsid w:val="005301A1"/>
    <w:rsid w:val="0053126A"/>
    <w:rsid w:val="00532246"/>
    <w:rsid w:val="00532451"/>
    <w:rsid w:val="00536F5B"/>
    <w:rsid w:val="00537916"/>
    <w:rsid w:val="00542670"/>
    <w:rsid w:val="00543965"/>
    <w:rsid w:val="005441C1"/>
    <w:rsid w:val="00545001"/>
    <w:rsid w:val="00546276"/>
    <w:rsid w:val="00547348"/>
    <w:rsid w:val="005507E3"/>
    <w:rsid w:val="00550937"/>
    <w:rsid w:val="0055260E"/>
    <w:rsid w:val="0055330D"/>
    <w:rsid w:val="0055458C"/>
    <w:rsid w:val="00555FC7"/>
    <w:rsid w:val="0055717C"/>
    <w:rsid w:val="005578D6"/>
    <w:rsid w:val="0055795D"/>
    <w:rsid w:val="0056042A"/>
    <w:rsid w:val="00561795"/>
    <w:rsid w:val="00562BA8"/>
    <w:rsid w:val="0056376A"/>
    <w:rsid w:val="00564552"/>
    <w:rsid w:val="00565011"/>
    <w:rsid w:val="00565BD9"/>
    <w:rsid w:val="00565DD1"/>
    <w:rsid w:val="00566921"/>
    <w:rsid w:val="00570049"/>
    <w:rsid w:val="00572430"/>
    <w:rsid w:val="00572FA7"/>
    <w:rsid w:val="005750C4"/>
    <w:rsid w:val="00576CB6"/>
    <w:rsid w:val="00576FBF"/>
    <w:rsid w:val="00577CC5"/>
    <w:rsid w:val="00577E95"/>
    <w:rsid w:val="00577FAD"/>
    <w:rsid w:val="00583AEC"/>
    <w:rsid w:val="005853DD"/>
    <w:rsid w:val="00585784"/>
    <w:rsid w:val="00586FBE"/>
    <w:rsid w:val="00587462"/>
    <w:rsid w:val="00587C8D"/>
    <w:rsid w:val="0059116F"/>
    <w:rsid w:val="00591EF2"/>
    <w:rsid w:val="00592198"/>
    <w:rsid w:val="0059320E"/>
    <w:rsid w:val="005936A8"/>
    <w:rsid w:val="005953FB"/>
    <w:rsid w:val="0059634B"/>
    <w:rsid w:val="00597640"/>
    <w:rsid w:val="00597B52"/>
    <w:rsid w:val="005A2E6F"/>
    <w:rsid w:val="005A3998"/>
    <w:rsid w:val="005A3C6F"/>
    <w:rsid w:val="005A50E5"/>
    <w:rsid w:val="005A639D"/>
    <w:rsid w:val="005A7C71"/>
    <w:rsid w:val="005B0482"/>
    <w:rsid w:val="005B1B21"/>
    <w:rsid w:val="005B36C6"/>
    <w:rsid w:val="005B3E1B"/>
    <w:rsid w:val="005B6066"/>
    <w:rsid w:val="005B70F0"/>
    <w:rsid w:val="005C0539"/>
    <w:rsid w:val="005C0BE5"/>
    <w:rsid w:val="005C146F"/>
    <w:rsid w:val="005C40D3"/>
    <w:rsid w:val="005C5115"/>
    <w:rsid w:val="005D06E4"/>
    <w:rsid w:val="005D1D99"/>
    <w:rsid w:val="005D4A7F"/>
    <w:rsid w:val="005D5B00"/>
    <w:rsid w:val="005D71E4"/>
    <w:rsid w:val="005E0F3C"/>
    <w:rsid w:val="005E1AD0"/>
    <w:rsid w:val="005E234F"/>
    <w:rsid w:val="005E3B6C"/>
    <w:rsid w:val="005E4ABD"/>
    <w:rsid w:val="005E6172"/>
    <w:rsid w:val="005F085E"/>
    <w:rsid w:val="005F0A4E"/>
    <w:rsid w:val="005F1102"/>
    <w:rsid w:val="005F1F61"/>
    <w:rsid w:val="005F29EB"/>
    <w:rsid w:val="005F2F38"/>
    <w:rsid w:val="005F3C99"/>
    <w:rsid w:val="005F58D5"/>
    <w:rsid w:val="005F7B5D"/>
    <w:rsid w:val="00600634"/>
    <w:rsid w:val="00603718"/>
    <w:rsid w:val="00603D22"/>
    <w:rsid w:val="00604303"/>
    <w:rsid w:val="006060D9"/>
    <w:rsid w:val="00607282"/>
    <w:rsid w:val="0061329D"/>
    <w:rsid w:val="00613763"/>
    <w:rsid w:val="00614AE0"/>
    <w:rsid w:val="00615663"/>
    <w:rsid w:val="0061737B"/>
    <w:rsid w:val="0062051C"/>
    <w:rsid w:val="00620526"/>
    <w:rsid w:val="006215F6"/>
    <w:rsid w:val="00621602"/>
    <w:rsid w:val="00621828"/>
    <w:rsid w:val="0062280A"/>
    <w:rsid w:val="00623AF9"/>
    <w:rsid w:val="006251E6"/>
    <w:rsid w:val="00625648"/>
    <w:rsid w:val="00626208"/>
    <w:rsid w:val="00626853"/>
    <w:rsid w:val="00627439"/>
    <w:rsid w:val="00627A9D"/>
    <w:rsid w:val="00630A9B"/>
    <w:rsid w:val="00631106"/>
    <w:rsid w:val="006311D4"/>
    <w:rsid w:val="006323C6"/>
    <w:rsid w:val="00634466"/>
    <w:rsid w:val="00636016"/>
    <w:rsid w:val="00636617"/>
    <w:rsid w:val="00641195"/>
    <w:rsid w:val="00643CC5"/>
    <w:rsid w:val="0064402F"/>
    <w:rsid w:val="00645ED9"/>
    <w:rsid w:val="00646DB8"/>
    <w:rsid w:val="00650347"/>
    <w:rsid w:val="0065159E"/>
    <w:rsid w:val="00651664"/>
    <w:rsid w:val="0065355A"/>
    <w:rsid w:val="006543FD"/>
    <w:rsid w:val="0065445B"/>
    <w:rsid w:val="00655674"/>
    <w:rsid w:val="006558E4"/>
    <w:rsid w:val="00656020"/>
    <w:rsid w:val="00656A9A"/>
    <w:rsid w:val="00656F7D"/>
    <w:rsid w:val="006571CA"/>
    <w:rsid w:val="00657FEB"/>
    <w:rsid w:val="00662559"/>
    <w:rsid w:val="006633E2"/>
    <w:rsid w:val="00663BBB"/>
    <w:rsid w:val="00667AC0"/>
    <w:rsid w:val="0067084A"/>
    <w:rsid w:val="00671269"/>
    <w:rsid w:val="00671F83"/>
    <w:rsid w:val="00673A4C"/>
    <w:rsid w:val="00674DB5"/>
    <w:rsid w:val="00680A44"/>
    <w:rsid w:val="00682561"/>
    <w:rsid w:val="00682BA0"/>
    <w:rsid w:val="0068422E"/>
    <w:rsid w:val="0068495B"/>
    <w:rsid w:val="00686A0F"/>
    <w:rsid w:val="00687D46"/>
    <w:rsid w:val="00687D7A"/>
    <w:rsid w:val="00693295"/>
    <w:rsid w:val="00693449"/>
    <w:rsid w:val="00694B78"/>
    <w:rsid w:val="00694EAF"/>
    <w:rsid w:val="00695377"/>
    <w:rsid w:val="00695719"/>
    <w:rsid w:val="006960BB"/>
    <w:rsid w:val="006967BF"/>
    <w:rsid w:val="006A17EF"/>
    <w:rsid w:val="006A186F"/>
    <w:rsid w:val="006A28E5"/>
    <w:rsid w:val="006A2942"/>
    <w:rsid w:val="006A2A32"/>
    <w:rsid w:val="006A2CCE"/>
    <w:rsid w:val="006A4A52"/>
    <w:rsid w:val="006A5995"/>
    <w:rsid w:val="006A5C9D"/>
    <w:rsid w:val="006A5FFB"/>
    <w:rsid w:val="006A6752"/>
    <w:rsid w:val="006A71E2"/>
    <w:rsid w:val="006B05BB"/>
    <w:rsid w:val="006B0E96"/>
    <w:rsid w:val="006B2CFA"/>
    <w:rsid w:val="006B3334"/>
    <w:rsid w:val="006B5BCF"/>
    <w:rsid w:val="006B610A"/>
    <w:rsid w:val="006B70DE"/>
    <w:rsid w:val="006B7358"/>
    <w:rsid w:val="006B76A7"/>
    <w:rsid w:val="006C0244"/>
    <w:rsid w:val="006C0E35"/>
    <w:rsid w:val="006C6E5B"/>
    <w:rsid w:val="006D012E"/>
    <w:rsid w:val="006D15B1"/>
    <w:rsid w:val="006D18E7"/>
    <w:rsid w:val="006D1F83"/>
    <w:rsid w:val="006D2836"/>
    <w:rsid w:val="006D587C"/>
    <w:rsid w:val="006D5EF0"/>
    <w:rsid w:val="006D7C12"/>
    <w:rsid w:val="006E342B"/>
    <w:rsid w:val="006E36CF"/>
    <w:rsid w:val="006E3A23"/>
    <w:rsid w:val="006E5530"/>
    <w:rsid w:val="006E64E0"/>
    <w:rsid w:val="006E76CA"/>
    <w:rsid w:val="006E79B8"/>
    <w:rsid w:val="006F09DA"/>
    <w:rsid w:val="006F0CE5"/>
    <w:rsid w:val="006F2AD9"/>
    <w:rsid w:val="006F5C58"/>
    <w:rsid w:val="006F65BE"/>
    <w:rsid w:val="006F66DA"/>
    <w:rsid w:val="006F6AD0"/>
    <w:rsid w:val="0070097A"/>
    <w:rsid w:val="00701599"/>
    <w:rsid w:val="00702926"/>
    <w:rsid w:val="00703419"/>
    <w:rsid w:val="007039B6"/>
    <w:rsid w:val="00704906"/>
    <w:rsid w:val="00704B20"/>
    <w:rsid w:val="00704F5A"/>
    <w:rsid w:val="0070532D"/>
    <w:rsid w:val="00705D26"/>
    <w:rsid w:val="007061AB"/>
    <w:rsid w:val="0070641A"/>
    <w:rsid w:val="00706C0E"/>
    <w:rsid w:val="00707272"/>
    <w:rsid w:val="00707430"/>
    <w:rsid w:val="00707473"/>
    <w:rsid w:val="007079E1"/>
    <w:rsid w:val="00711BD6"/>
    <w:rsid w:val="00712EE5"/>
    <w:rsid w:val="00714027"/>
    <w:rsid w:val="0071646D"/>
    <w:rsid w:val="00716F69"/>
    <w:rsid w:val="00721620"/>
    <w:rsid w:val="00723885"/>
    <w:rsid w:val="007254F7"/>
    <w:rsid w:val="007258CC"/>
    <w:rsid w:val="0072647A"/>
    <w:rsid w:val="00726570"/>
    <w:rsid w:val="00727017"/>
    <w:rsid w:val="00731666"/>
    <w:rsid w:val="007319A2"/>
    <w:rsid w:val="00732130"/>
    <w:rsid w:val="0073307A"/>
    <w:rsid w:val="00733288"/>
    <w:rsid w:val="00733D12"/>
    <w:rsid w:val="00733E02"/>
    <w:rsid w:val="0073663C"/>
    <w:rsid w:val="0073677A"/>
    <w:rsid w:val="007429F8"/>
    <w:rsid w:val="007431B7"/>
    <w:rsid w:val="00744C6B"/>
    <w:rsid w:val="00745613"/>
    <w:rsid w:val="00746DEF"/>
    <w:rsid w:val="007470D8"/>
    <w:rsid w:val="007474F3"/>
    <w:rsid w:val="0075085D"/>
    <w:rsid w:val="00750DBB"/>
    <w:rsid w:val="00751985"/>
    <w:rsid w:val="00751F2D"/>
    <w:rsid w:val="007523FB"/>
    <w:rsid w:val="00752CA1"/>
    <w:rsid w:val="00753514"/>
    <w:rsid w:val="0075390C"/>
    <w:rsid w:val="00754346"/>
    <w:rsid w:val="00754E1B"/>
    <w:rsid w:val="007574B8"/>
    <w:rsid w:val="00760FF7"/>
    <w:rsid w:val="007622C7"/>
    <w:rsid w:val="0076233E"/>
    <w:rsid w:val="00763D8D"/>
    <w:rsid w:val="00763F0B"/>
    <w:rsid w:val="007641B5"/>
    <w:rsid w:val="00764A20"/>
    <w:rsid w:val="007658A7"/>
    <w:rsid w:val="00767A4B"/>
    <w:rsid w:val="00771C1D"/>
    <w:rsid w:val="00771DBA"/>
    <w:rsid w:val="00773EB2"/>
    <w:rsid w:val="00774689"/>
    <w:rsid w:val="00775421"/>
    <w:rsid w:val="00775976"/>
    <w:rsid w:val="00776631"/>
    <w:rsid w:val="00777197"/>
    <w:rsid w:val="00780085"/>
    <w:rsid w:val="00780354"/>
    <w:rsid w:val="00780D40"/>
    <w:rsid w:val="00780EAF"/>
    <w:rsid w:val="00780F68"/>
    <w:rsid w:val="00781DD6"/>
    <w:rsid w:val="00783983"/>
    <w:rsid w:val="0078445E"/>
    <w:rsid w:val="00784F6C"/>
    <w:rsid w:val="007854FB"/>
    <w:rsid w:val="007869D4"/>
    <w:rsid w:val="00786B54"/>
    <w:rsid w:val="007878E2"/>
    <w:rsid w:val="00787E15"/>
    <w:rsid w:val="00790225"/>
    <w:rsid w:val="007916FD"/>
    <w:rsid w:val="00791EC5"/>
    <w:rsid w:val="00795335"/>
    <w:rsid w:val="007956B3"/>
    <w:rsid w:val="00795893"/>
    <w:rsid w:val="00796558"/>
    <w:rsid w:val="00797125"/>
    <w:rsid w:val="0079722C"/>
    <w:rsid w:val="007A0D31"/>
    <w:rsid w:val="007A11D0"/>
    <w:rsid w:val="007A1C7C"/>
    <w:rsid w:val="007A2BCD"/>
    <w:rsid w:val="007A4435"/>
    <w:rsid w:val="007A4F8B"/>
    <w:rsid w:val="007A4FBC"/>
    <w:rsid w:val="007A58C0"/>
    <w:rsid w:val="007A5F9D"/>
    <w:rsid w:val="007A6474"/>
    <w:rsid w:val="007A6800"/>
    <w:rsid w:val="007A7277"/>
    <w:rsid w:val="007A739B"/>
    <w:rsid w:val="007B064B"/>
    <w:rsid w:val="007B18FD"/>
    <w:rsid w:val="007B2D33"/>
    <w:rsid w:val="007B4317"/>
    <w:rsid w:val="007B606A"/>
    <w:rsid w:val="007B71E4"/>
    <w:rsid w:val="007B72C4"/>
    <w:rsid w:val="007C023F"/>
    <w:rsid w:val="007C1423"/>
    <w:rsid w:val="007C2CA2"/>
    <w:rsid w:val="007C312A"/>
    <w:rsid w:val="007C38FA"/>
    <w:rsid w:val="007C3BD4"/>
    <w:rsid w:val="007C3CB2"/>
    <w:rsid w:val="007C41C9"/>
    <w:rsid w:val="007C6924"/>
    <w:rsid w:val="007C7E73"/>
    <w:rsid w:val="007D051F"/>
    <w:rsid w:val="007D0BBA"/>
    <w:rsid w:val="007D0DB5"/>
    <w:rsid w:val="007D2550"/>
    <w:rsid w:val="007D3332"/>
    <w:rsid w:val="007D333C"/>
    <w:rsid w:val="007D3403"/>
    <w:rsid w:val="007D3521"/>
    <w:rsid w:val="007D3805"/>
    <w:rsid w:val="007D3A28"/>
    <w:rsid w:val="007D6583"/>
    <w:rsid w:val="007D69E5"/>
    <w:rsid w:val="007D6DAD"/>
    <w:rsid w:val="007D778F"/>
    <w:rsid w:val="007E0FFD"/>
    <w:rsid w:val="007E18FC"/>
    <w:rsid w:val="007E494F"/>
    <w:rsid w:val="007E578E"/>
    <w:rsid w:val="007E5BBF"/>
    <w:rsid w:val="007E5E76"/>
    <w:rsid w:val="007E68BF"/>
    <w:rsid w:val="007E71FC"/>
    <w:rsid w:val="007E7F0C"/>
    <w:rsid w:val="007F03C7"/>
    <w:rsid w:val="007F0772"/>
    <w:rsid w:val="007F0B94"/>
    <w:rsid w:val="007F124E"/>
    <w:rsid w:val="007F2175"/>
    <w:rsid w:val="007F26DD"/>
    <w:rsid w:val="007F2884"/>
    <w:rsid w:val="007F2CFD"/>
    <w:rsid w:val="007F3A36"/>
    <w:rsid w:val="007F3CED"/>
    <w:rsid w:val="007F4B4B"/>
    <w:rsid w:val="007F57FB"/>
    <w:rsid w:val="007F6FB0"/>
    <w:rsid w:val="007F7A2A"/>
    <w:rsid w:val="00800475"/>
    <w:rsid w:val="00800BFE"/>
    <w:rsid w:val="00801696"/>
    <w:rsid w:val="00802EEB"/>
    <w:rsid w:val="00803FFB"/>
    <w:rsid w:val="008040D2"/>
    <w:rsid w:val="008050F1"/>
    <w:rsid w:val="0080522A"/>
    <w:rsid w:val="008054D4"/>
    <w:rsid w:val="00805C6A"/>
    <w:rsid w:val="00806146"/>
    <w:rsid w:val="00807246"/>
    <w:rsid w:val="008102F5"/>
    <w:rsid w:val="00812AFF"/>
    <w:rsid w:val="00814803"/>
    <w:rsid w:val="00814C48"/>
    <w:rsid w:val="00814F7C"/>
    <w:rsid w:val="00815CAE"/>
    <w:rsid w:val="0081643F"/>
    <w:rsid w:val="00817FA0"/>
    <w:rsid w:val="00822129"/>
    <w:rsid w:val="00823276"/>
    <w:rsid w:val="00823A43"/>
    <w:rsid w:val="0083169E"/>
    <w:rsid w:val="00832C5F"/>
    <w:rsid w:val="00832CB6"/>
    <w:rsid w:val="008337A1"/>
    <w:rsid w:val="00833991"/>
    <w:rsid w:val="00834B6A"/>
    <w:rsid w:val="00834C0D"/>
    <w:rsid w:val="00834D03"/>
    <w:rsid w:val="008369B8"/>
    <w:rsid w:val="00836F42"/>
    <w:rsid w:val="00837E6A"/>
    <w:rsid w:val="0084288D"/>
    <w:rsid w:val="008429A3"/>
    <w:rsid w:val="008429AF"/>
    <w:rsid w:val="008444BD"/>
    <w:rsid w:val="00844515"/>
    <w:rsid w:val="00846B79"/>
    <w:rsid w:val="0085094E"/>
    <w:rsid w:val="00851B24"/>
    <w:rsid w:val="00851F54"/>
    <w:rsid w:val="00852084"/>
    <w:rsid w:val="0085741A"/>
    <w:rsid w:val="00863241"/>
    <w:rsid w:val="00864130"/>
    <w:rsid w:val="0086657E"/>
    <w:rsid w:val="00866AB0"/>
    <w:rsid w:val="00867F1E"/>
    <w:rsid w:val="00870ACF"/>
    <w:rsid w:val="00870D8D"/>
    <w:rsid w:val="00873463"/>
    <w:rsid w:val="008735D5"/>
    <w:rsid w:val="00873D83"/>
    <w:rsid w:val="00873D93"/>
    <w:rsid w:val="0087646F"/>
    <w:rsid w:val="00877854"/>
    <w:rsid w:val="00882405"/>
    <w:rsid w:val="00882E11"/>
    <w:rsid w:val="008835C7"/>
    <w:rsid w:val="00884635"/>
    <w:rsid w:val="00884678"/>
    <w:rsid w:val="008847E9"/>
    <w:rsid w:val="00884E6D"/>
    <w:rsid w:val="00885156"/>
    <w:rsid w:val="00885EF1"/>
    <w:rsid w:val="00890F31"/>
    <w:rsid w:val="00891F09"/>
    <w:rsid w:val="0089325E"/>
    <w:rsid w:val="008949FB"/>
    <w:rsid w:val="00894CB7"/>
    <w:rsid w:val="00896267"/>
    <w:rsid w:val="00896DBE"/>
    <w:rsid w:val="008A096F"/>
    <w:rsid w:val="008A3471"/>
    <w:rsid w:val="008A49C6"/>
    <w:rsid w:val="008A4D32"/>
    <w:rsid w:val="008A5C44"/>
    <w:rsid w:val="008A5EF0"/>
    <w:rsid w:val="008A66C6"/>
    <w:rsid w:val="008A6806"/>
    <w:rsid w:val="008B035B"/>
    <w:rsid w:val="008B0D4D"/>
    <w:rsid w:val="008B36D0"/>
    <w:rsid w:val="008B4790"/>
    <w:rsid w:val="008B7E58"/>
    <w:rsid w:val="008C134F"/>
    <w:rsid w:val="008C1413"/>
    <w:rsid w:val="008C1984"/>
    <w:rsid w:val="008C33C4"/>
    <w:rsid w:val="008C3699"/>
    <w:rsid w:val="008C4531"/>
    <w:rsid w:val="008C4BA6"/>
    <w:rsid w:val="008C6DDB"/>
    <w:rsid w:val="008D007F"/>
    <w:rsid w:val="008D1336"/>
    <w:rsid w:val="008D2CD1"/>
    <w:rsid w:val="008D2E42"/>
    <w:rsid w:val="008D451D"/>
    <w:rsid w:val="008D4852"/>
    <w:rsid w:val="008D5244"/>
    <w:rsid w:val="008D5ECA"/>
    <w:rsid w:val="008D6C00"/>
    <w:rsid w:val="008D6E7A"/>
    <w:rsid w:val="008D6ED1"/>
    <w:rsid w:val="008D7D2E"/>
    <w:rsid w:val="008E077D"/>
    <w:rsid w:val="008E0FBB"/>
    <w:rsid w:val="008E1E19"/>
    <w:rsid w:val="008E4933"/>
    <w:rsid w:val="008E68C0"/>
    <w:rsid w:val="008E70EF"/>
    <w:rsid w:val="008E7597"/>
    <w:rsid w:val="008F0F5E"/>
    <w:rsid w:val="008F1B69"/>
    <w:rsid w:val="008F2F92"/>
    <w:rsid w:val="008F5CD2"/>
    <w:rsid w:val="008F5EC6"/>
    <w:rsid w:val="008F689B"/>
    <w:rsid w:val="008F727F"/>
    <w:rsid w:val="009000B4"/>
    <w:rsid w:val="00900A96"/>
    <w:rsid w:val="00901D0E"/>
    <w:rsid w:val="009034E6"/>
    <w:rsid w:val="00903C2E"/>
    <w:rsid w:val="00904F6F"/>
    <w:rsid w:val="0090533E"/>
    <w:rsid w:val="009057A6"/>
    <w:rsid w:val="00905E22"/>
    <w:rsid w:val="009065FF"/>
    <w:rsid w:val="0090678C"/>
    <w:rsid w:val="00910CE3"/>
    <w:rsid w:val="00913042"/>
    <w:rsid w:val="00913BF8"/>
    <w:rsid w:val="00914954"/>
    <w:rsid w:val="00915956"/>
    <w:rsid w:val="009173E0"/>
    <w:rsid w:val="0091740F"/>
    <w:rsid w:val="00917ECE"/>
    <w:rsid w:val="00917FE9"/>
    <w:rsid w:val="00920372"/>
    <w:rsid w:val="00920BD8"/>
    <w:rsid w:val="00920E07"/>
    <w:rsid w:val="00922D32"/>
    <w:rsid w:val="0092374D"/>
    <w:rsid w:val="00923BAA"/>
    <w:rsid w:val="00923DD4"/>
    <w:rsid w:val="00924098"/>
    <w:rsid w:val="00924970"/>
    <w:rsid w:val="00926101"/>
    <w:rsid w:val="009267F6"/>
    <w:rsid w:val="009303AA"/>
    <w:rsid w:val="00930AB0"/>
    <w:rsid w:val="009317C0"/>
    <w:rsid w:val="00932443"/>
    <w:rsid w:val="009326BF"/>
    <w:rsid w:val="009327C7"/>
    <w:rsid w:val="0093324A"/>
    <w:rsid w:val="00934C59"/>
    <w:rsid w:val="0093667A"/>
    <w:rsid w:val="00936C33"/>
    <w:rsid w:val="0093787B"/>
    <w:rsid w:val="00937AA5"/>
    <w:rsid w:val="00937BC1"/>
    <w:rsid w:val="00937D1C"/>
    <w:rsid w:val="009408AA"/>
    <w:rsid w:val="00941ECB"/>
    <w:rsid w:val="00942C8E"/>
    <w:rsid w:val="0094354A"/>
    <w:rsid w:val="00945FC2"/>
    <w:rsid w:val="00946E5B"/>
    <w:rsid w:val="009470AB"/>
    <w:rsid w:val="00947120"/>
    <w:rsid w:val="0094749B"/>
    <w:rsid w:val="00950E06"/>
    <w:rsid w:val="0095111A"/>
    <w:rsid w:val="00953D56"/>
    <w:rsid w:val="0095415B"/>
    <w:rsid w:val="009545CC"/>
    <w:rsid w:val="00954F31"/>
    <w:rsid w:val="009555C9"/>
    <w:rsid w:val="00956555"/>
    <w:rsid w:val="00956D84"/>
    <w:rsid w:val="009607A3"/>
    <w:rsid w:val="00960C63"/>
    <w:rsid w:val="00961330"/>
    <w:rsid w:val="00961347"/>
    <w:rsid w:val="00961BEE"/>
    <w:rsid w:val="00962793"/>
    <w:rsid w:val="00963095"/>
    <w:rsid w:val="0096379F"/>
    <w:rsid w:val="009639B6"/>
    <w:rsid w:val="009639C9"/>
    <w:rsid w:val="00964F1C"/>
    <w:rsid w:val="0096503C"/>
    <w:rsid w:val="00965869"/>
    <w:rsid w:val="009672A4"/>
    <w:rsid w:val="009672DB"/>
    <w:rsid w:val="009703A2"/>
    <w:rsid w:val="009714A5"/>
    <w:rsid w:val="009717EB"/>
    <w:rsid w:val="00972FBC"/>
    <w:rsid w:val="00973859"/>
    <w:rsid w:val="00974A70"/>
    <w:rsid w:val="009755B2"/>
    <w:rsid w:val="009759FD"/>
    <w:rsid w:val="00981D15"/>
    <w:rsid w:val="00982745"/>
    <w:rsid w:val="00983C33"/>
    <w:rsid w:val="00983EB5"/>
    <w:rsid w:val="00984909"/>
    <w:rsid w:val="009859B5"/>
    <w:rsid w:val="00986726"/>
    <w:rsid w:val="009900E6"/>
    <w:rsid w:val="009909CB"/>
    <w:rsid w:val="00990A1E"/>
    <w:rsid w:val="00990F17"/>
    <w:rsid w:val="009912B5"/>
    <w:rsid w:val="00991437"/>
    <w:rsid w:val="009914DC"/>
    <w:rsid w:val="009936DC"/>
    <w:rsid w:val="00993A30"/>
    <w:rsid w:val="00993E30"/>
    <w:rsid w:val="00995313"/>
    <w:rsid w:val="00997C34"/>
    <w:rsid w:val="00997D75"/>
    <w:rsid w:val="009A3DA3"/>
    <w:rsid w:val="009A3DE0"/>
    <w:rsid w:val="009A47DB"/>
    <w:rsid w:val="009A513D"/>
    <w:rsid w:val="009A5671"/>
    <w:rsid w:val="009A5B2E"/>
    <w:rsid w:val="009A6D41"/>
    <w:rsid w:val="009B1AFE"/>
    <w:rsid w:val="009B2564"/>
    <w:rsid w:val="009B32DC"/>
    <w:rsid w:val="009B4C1C"/>
    <w:rsid w:val="009B64A5"/>
    <w:rsid w:val="009C07AA"/>
    <w:rsid w:val="009C22E0"/>
    <w:rsid w:val="009C2676"/>
    <w:rsid w:val="009C3ECB"/>
    <w:rsid w:val="009C4682"/>
    <w:rsid w:val="009C5FAB"/>
    <w:rsid w:val="009C6420"/>
    <w:rsid w:val="009C6A3C"/>
    <w:rsid w:val="009C6BDC"/>
    <w:rsid w:val="009C6D8D"/>
    <w:rsid w:val="009D1EB5"/>
    <w:rsid w:val="009D24B7"/>
    <w:rsid w:val="009D25F6"/>
    <w:rsid w:val="009D3B4B"/>
    <w:rsid w:val="009D3D23"/>
    <w:rsid w:val="009D460C"/>
    <w:rsid w:val="009D4D5E"/>
    <w:rsid w:val="009D51AC"/>
    <w:rsid w:val="009E1BB9"/>
    <w:rsid w:val="009E1C45"/>
    <w:rsid w:val="009E4CDB"/>
    <w:rsid w:val="009E52BB"/>
    <w:rsid w:val="009E53C0"/>
    <w:rsid w:val="009E56D5"/>
    <w:rsid w:val="009E662A"/>
    <w:rsid w:val="009E6A4B"/>
    <w:rsid w:val="009E7A09"/>
    <w:rsid w:val="009F0910"/>
    <w:rsid w:val="009F0934"/>
    <w:rsid w:val="009F0B1B"/>
    <w:rsid w:val="009F0C65"/>
    <w:rsid w:val="009F17BE"/>
    <w:rsid w:val="009F2679"/>
    <w:rsid w:val="009F2859"/>
    <w:rsid w:val="009F2E93"/>
    <w:rsid w:val="009F41F3"/>
    <w:rsid w:val="009F4FE1"/>
    <w:rsid w:val="009F52BE"/>
    <w:rsid w:val="00A000D9"/>
    <w:rsid w:val="00A00612"/>
    <w:rsid w:val="00A00A12"/>
    <w:rsid w:val="00A01EA7"/>
    <w:rsid w:val="00A02D03"/>
    <w:rsid w:val="00A02E94"/>
    <w:rsid w:val="00A057DC"/>
    <w:rsid w:val="00A0725B"/>
    <w:rsid w:val="00A10153"/>
    <w:rsid w:val="00A11EC9"/>
    <w:rsid w:val="00A121FB"/>
    <w:rsid w:val="00A12F69"/>
    <w:rsid w:val="00A16C07"/>
    <w:rsid w:val="00A17A74"/>
    <w:rsid w:val="00A22A04"/>
    <w:rsid w:val="00A2343D"/>
    <w:rsid w:val="00A23FCD"/>
    <w:rsid w:val="00A24E49"/>
    <w:rsid w:val="00A25F38"/>
    <w:rsid w:val="00A26D36"/>
    <w:rsid w:val="00A27411"/>
    <w:rsid w:val="00A27C51"/>
    <w:rsid w:val="00A30BEB"/>
    <w:rsid w:val="00A31048"/>
    <w:rsid w:val="00A31C2E"/>
    <w:rsid w:val="00A33005"/>
    <w:rsid w:val="00A330EE"/>
    <w:rsid w:val="00A33F33"/>
    <w:rsid w:val="00A34C99"/>
    <w:rsid w:val="00A36910"/>
    <w:rsid w:val="00A36E6F"/>
    <w:rsid w:val="00A36EC1"/>
    <w:rsid w:val="00A370A6"/>
    <w:rsid w:val="00A375F1"/>
    <w:rsid w:val="00A41B24"/>
    <w:rsid w:val="00A42A6B"/>
    <w:rsid w:val="00A43DC7"/>
    <w:rsid w:val="00A444BF"/>
    <w:rsid w:val="00A44A62"/>
    <w:rsid w:val="00A466EE"/>
    <w:rsid w:val="00A4796C"/>
    <w:rsid w:val="00A502B7"/>
    <w:rsid w:val="00A510AC"/>
    <w:rsid w:val="00A5152D"/>
    <w:rsid w:val="00A517FC"/>
    <w:rsid w:val="00A564B5"/>
    <w:rsid w:val="00A56B10"/>
    <w:rsid w:val="00A57205"/>
    <w:rsid w:val="00A57436"/>
    <w:rsid w:val="00A605F9"/>
    <w:rsid w:val="00A60E45"/>
    <w:rsid w:val="00A61533"/>
    <w:rsid w:val="00A624A7"/>
    <w:rsid w:val="00A63149"/>
    <w:rsid w:val="00A637C3"/>
    <w:rsid w:val="00A63BA5"/>
    <w:rsid w:val="00A654A4"/>
    <w:rsid w:val="00A66EE9"/>
    <w:rsid w:val="00A6714F"/>
    <w:rsid w:val="00A7047C"/>
    <w:rsid w:val="00A7287F"/>
    <w:rsid w:val="00A73844"/>
    <w:rsid w:val="00A75230"/>
    <w:rsid w:val="00A76165"/>
    <w:rsid w:val="00A77E6F"/>
    <w:rsid w:val="00A80D20"/>
    <w:rsid w:val="00A80F2C"/>
    <w:rsid w:val="00A8237F"/>
    <w:rsid w:val="00A83F2E"/>
    <w:rsid w:val="00A8504E"/>
    <w:rsid w:val="00A851AD"/>
    <w:rsid w:val="00A856F0"/>
    <w:rsid w:val="00A867EC"/>
    <w:rsid w:val="00A86EA4"/>
    <w:rsid w:val="00A91A3E"/>
    <w:rsid w:val="00A92139"/>
    <w:rsid w:val="00A93600"/>
    <w:rsid w:val="00A951B1"/>
    <w:rsid w:val="00A95E98"/>
    <w:rsid w:val="00A96BE7"/>
    <w:rsid w:val="00AA01D4"/>
    <w:rsid w:val="00AA09E2"/>
    <w:rsid w:val="00AA2D96"/>
    <w:rsid w:val="00AA3FC8"/>
    <w:rsid w:val="00AA64F9"/>
    <w:rsid w:val="00AB0EEC"/>
    <w:rsid w:val="00AB312A"/>
    <w:rsid w:val="00AB5B2F"/>
    <w:rsid w:val="00AB738C"/>
    <w:rsid w:val="00AB7B58"/>
    <w:rsid w:val="00AC1409"/>
    <w:rsid w:val="00AC240E"/>
    <w:rsid w:val="00AC261D"/>
    <w:rsid w:val="00AC318C"/>
    <w:rsid w:val="00AC3F10"/>
    <w:rsid w:val="00AC42D0"/>
    <w:rsid w:val="00AC5A44"/>
    <w:rsid w:val="00AC66C5"/>
    <w:rsid w:val="00AC724A"/>
    <w:rsid w:val="00AD0A25"/>
    <w:rsid w:val="00AD0AB7"/>
    <w:rsid w:val="00AD23E3"/>
    <w:rsid w:val="00AD4399"/>
    <w:rsid w:val="00AD4C9C"/>
    <w:rsid w:val="00AD5F6D"/>
    <w:rsid w:val="00AD619D"/>
    <w:rsid w:val="00AD62D4"/>
    <w:rsid w:val="00AD6AB3"/>
    <w:rsid w:val="00AD6DA0"/>
    <w:rsid w:val="00AD712B"/>
    <w:rsid w:val="00AD771E"/>
    <w:rsid w:val="00AE043C"/>
    <w:rsid w:val="00AE07EC"/>
    <w:rsid w:val="00AE0A63"/>
    <w:rsid w:val="00AE1D02"/>
    <w:rsid w:val="00AE1EF8"/>
    <w:rsid w:val="00AE2E7C"/>
    <w:rsid w:val="00AE4897"/>
    <w:rsid w:val="00AE4EBF"/>
    <w:rsid w:val="00AE7CFA"/>
    <w:rsid w:val="00AF028A"/>
    <w:rsid w:val="00AF0B62"/>
    <w:rsid w:val="00AF26A9"/>
    <w:rsid w:val="00AF2BA9"/>
    <w:rsid w:val="00AF46FF"/>
    <w:rsid w:val="00AF612F"/>
    <w:rsid w:val="00B00B93"/>
    <w:rsid w:val="00B020FB"/>
    <w:rsid w:val="00B03BA1"/>
    <w:rsid w:val="00B04F0D"/>
    <w:rsid w:val="00B054A7"/>
    <w:rsid w:val="00B0556F"/>
    <w:rsid w:val="00B06A9C"/>
    <w:rsid w:val="00B07B88"/>
    <w:rsid w:val="00B1059E"/>
    <w:rsid w:val="00B10C1D"/>
    <w:rsid w:val="00B12500"/>
    <w:rsid w:val="00B12521"/>
    <w:rsid w:val="00B14A31"/>
    <w:rsid w:val="00B169FB"/>
    <w:rsid w:val="00B21E0D"/>
    <w:rsid w:val="00B226FE"/>
    <w:rsid w:val="00B232B0"/>
    <w:rsid w:val="00B233C2"/>
    <w:rsid w:val="00B23F6D"/>
    <w:rsid w:val="00B2516C"/>
    <w:rsid w:val="00B2587E"/>
    <w:rsid w:val="00B300AD"/>
    <w:rsid w:val="00B3207F"/>
    <w:rsid w:val="00B32303"/>
    <w:rsid w:val="00B327D2"/>
    <w:rsid w:val="00B33816"/>
    <w:rsid w:val="00B348D6"/>
    <w:rsid w:val="00B357F2"/>
    <w:rsid w:val="00B35B22"/>
    <w:rsid w:val="00B35DDE"/>
    <w:rsid w:val="00B36265"/>
    <w:rsid w:val="00B36724"/>
    <w:rsid w:val="00B37424"/>
    <w:rsid w:val="00B40678"/>
    <w:rsid w:val="00B45B74"/>
    <w:rsid w:val="00B473E3"/>
    <w:rsid w:val="00B47410"/>
    <w:rsid w:val="00B506EB"/>
    <w:rsid w:val="00B52F33"/>
    <w:rsid w:val="00B5325F"/>
    <w:rsid w:val="00B53412"/>
    <w:rsid w:val="00B54DC6"/>
    <w:rsid w:val="00B55B57"/>
    <w:rsid w:val="00B567D7"/>
    <w:rsid w:val="00B57693"/>
    <w:rsid w:val="00B57F31"/>
    <w:rsid w:val="00B60938"/>
    <w:rsid w:val="00B61B4E"/>
    <w:rsid w:val="00B64107"/>
    <w:rsid w:val="00B64A7B"/>
    <w:rsid w:val="00B6501E"/>
    <w:rsid w:val="00B705D8"/>
    <w:rsid w:val="00B70DE9"/>
    <w:rsid w:val="00B73821"/>
    <w:rsid w:val="00B73B79"/>
    <w:rsid w:val="00B74294"/>
    <w:rsid w:val="00B74D2D"/>
    <w:rsid w:val="00B74E74"/>
    <w:rsid w:val="00B8133F"/>
    <w:rsid w:val="00B825F4"/>
    <w:rsid w:val="00B84014"/>
    <w:rsid w:val="00B86D17"/>
    <w:rsid w:val="00B873B5"/>
    <w:rsid w:val="00B91DB8"/>
    <w:rsid w:val="00B921C4"/>
    <w:rsid w:val="00B929F3"/>
    <w:rsid w:val="00B9302C"/>
    <w:rsid w:val="00B93260"/>
    <w:rsid w:val="00B93F28"/>
    <w:rsid w:val="00B955A8"/>
    <w:rsid w:val="00B95D1D"/>
    <w:rsid w:val="00B96048"/>
    <w:rsid w:val="00B9670E"/>
    <w:rsid w:val="00B972CB"/>
    <w:rsid w:val="00BA0FD9"/>
    <w:rsid w:val="00BA40D9"/>
    <w:rsid w:val="00BA4780"/>
    <w:rsid w:val="00BA5868"/>
    <w:rsid w:val="00BA6913"/>
    <w:rsid w:val="00BA7FDF"/>
    <w:rsid w:val="00BB0216"/>
    <w:rsid w:val="00BB022B"/>
    <w:rsid w:val="00BB071E"/>
    <w:rsid w:val="00BB0BA8"/>
    <w:rsid w:val="00BB2F15"/>
    <w:rsid w:val="00BB369A"/>
    <w:rsid w:val="00BB37A8"/>
    <w:rsid w:val="00BB3A0B"/>
    <w:rsid w:val="00BB406C"/>
    <w:rsid w:val="00BB6206"/>
    <w:rsid w:val="00BB6599"/>
    <w:rsid w:val="00BC122C"/>
    <w:rsid w:val="00BC1ED5"/>
    <w:rsid w:val="00BC2D91"/>
    <w:rsid w:val="00BC41F7"/>
    <w:rsid w:val="00BC4A1B"/>
    <w:rsid w:val="00BC66F9"/>
    <w:rsid w:val="00BC6820"/>
    <w:rsid w:val="00BC6C03"/>
    <w:rsid w:val="00BC6F02"/>
    <w:rsid w:val="00BC6F28"/>
    <w:rsid w:val="00BC6F77"/>
    <w:rsid w:val="00BC770A"/>
    <w:rsid w:val="00BD01BC"/>
    <w:rsid w:val="00BD0985"/>
    <w:rsid w:val="00BD0A11"/>
    <w:rsid w:val="00BD0FE0"/>
    <w:rsid w:val="00BD1031"/>
    <w:rsid w:val="00BD15E9"/>
    <w:rsid w:val="00BD25B4"/>
    <w:rsid w:val="00BD455D"/>
    <w:rsid w:val="00BD4C85"/>
    <w:rsid w:val="00BD5156"/>
    <w:rsid w:val="00BD55E9"/>
    <w:rsid w:val="00BD56BD"/>
    <w:rsid w:val="00BD584E"/>
    <w:rsid w:val="00BE2CD8"/>
    <w:rsid w:val="00BE2E79"/>
    <w:rsid w:val="00BE36D4"/>
    <w:rsid w:val="00BE372E"/>
    <w:rsid w:val="00BE44C9"/>
    <w:rsid w:val="00BE5205"/>
    <w:rsid w:val="00BE68BA"/>
    <w:rsid w:val="00BE6E3E"/>
    <w:rsid w:val="00BE712C"/>
    <w:rsid w:val="00BF0C04"/>
    <w:rsid w:val="00BF209B"/>
    <w:rsid w:val="00BF212F"/>
    <w:rsid w:val="00BF373E"/>
    <w:rsid w:val="00BF43FA"/>
    <w:rsid w:val="00BF4DD1"/>
    <w:rsid w:val="00BF4E28"/>
    <w:rsid w:val="00BF5338"/>
    <w:rsid w:val="00BF652B"/>
    <w:rsid w:val="00C045BB"/>
    <w:rsid w:val="00C06CB9"/>
    <w:rsid w:val="00C06DD1"/>
    <w:rsid w:val="00C0700D"/>
    <w:rsid w:val="00C12472"/>
    <w:rsid w:val="00C127E3"/>
    <w:rsid w:val="00C12993"/>
    <w:rsid w:val="00C12C3C"/>
    <w:rsid w:val="00C14194"/>
    <w:rsid w:val="00C1562E"/>
    <w:rsid w:val="00C15C47"/>
    <w:rsid w:val="00C168FB"/>
    <w:rsid w:val="00C16F88"/>
    <w:rsid w:val="00C17039"/>
    <w:rsid w:val="00C17C11"/>
    <w:rsid w:val="00C205BF"/>
    <w:rsid w:val="00C20FD7"/>
    <w:rsid w:val="00C21C6A"/>
    <w:rsid w:val="00C226BA"/>
    <w:rsid w:val="00C228A0"/>
    <w:rsid w:val="00C25D38"/>
    <w:rsid w:val="00C26218"/>
    <w:rsid w:val="00C273CF"/>
    <w:rsid w:val="00C303A2"/>
    <w:rsid w:val="00C3203F"/>
    <w:rsid w:val="00C321F5"/>
    <w:rsid w:val="00C322A8"/>
    <w:rsid w:val="00C32EE4"/>
    <w:rsid w:val="00C342E1"/>
    <w:rsid w:val="00C377A0"/>
    <w:rsid w:val="00C40B0E"/>
    <w:rsid w:val="00C40CCE"/>
    <w:rsid w:val="00C41346"/>
    <w:rsid w:val="00C420C3"/>
    <w:rsid w:val="00C4210A"/>
    <w:rsid w:val="00C42FD4"/>
    <w:rsid w:val="00C43BD6"/>
    <w:rsid w:val="00C444A4"/>
    <w:rsid w:val="00C45026"/>
    <w:rsid w:val="00C45B16"/>
    <w:rsid w:val="00C45EBD"/>
    <w:rsid w:val="00C466DC"/>
    <w:rsid w:val="00C468DC"/>
    <w:rsid w:val="00C47B12"/>
    <w:rsid w:val="00C51C57"/>
    <w:rsid w:val="00C52545"/>
    <w:rsid w:val="00C534CE"/>
    <w:rsid w:val="00C5415C"/>
    <w:rsid w:val="00C541D9"/>
    <w:rsid w:val="00C62615"/>
    <w:rsid w:val="00C6335B"/>
    <w:rsid w:val="00C63A95"/>
    <w:rsid w:val="00C63F3D"/>
    <w:rsid w:val="00C645D0"/>
    <w:rsid w:val="00C64E05"/>
    <w:rsid w:val="00C65119"/>
    <w:rsid w:val="00C668EC"/>
    <w:rsid w:val="00C67B4F"/>
    <w:rsid w:val="00C67D4B"/>
    <w:rsid w:val="00C70ECE"/>
    <w:rsid w:val="00C713C8"/>
    <w:rsid w:val="00C71AC0"/>
    <w:rsid w:val="00C72787"/>
    <w:rsid w:val="00C72E51"/>
    <w:rsid w:val="00C732CF"/>
    <w:rsid w:val="00C74E65"/>
    <w:rsid w:val="00C74FD0"/>
    <w:rsid w:val="00C7595F"/>
    <w:rsid w:val="00C76662"/>
    <w:rsid w:val="00C771AA"/>
    <w:rsid w:val="00C80468"/>
    <w:rsid w:val="00C82510"/>
    <w:rsid w:val="00C83288"/>
    <w:rsid w:val="00C83A49"/>
    <w:rsid w:val="00C84470"/>
    <w:rsid w:val="00C846E1"/>
    <w:rsid w:val="00C90211"/>
    <w:rsid w:val="00C90783"/>
    <w:rsid w:val="00C90F1F"/>
    <w:rsid w:val="00C925F3"/>
    <w:rsid w:val="00C95C0B"/>
    <w:rsid w:val="00CA0927"/>
    <w:rsid w:val="00CA0E05"/>
    <w:rsid w:val="00CA25B0"/>
    <w:rsid w:val="00CA3632"/>
    <w:rsid w:val="00CA4623"/>
    <w:rsid w:val="00CA4B6A"/>
    <w:rsid w:val="00CA5578"/>
    <w:rsid w:val="00CA7A9C"/>
    <w:rsid w:val="00CB007D"/>
    <w:rsid w:val="00CB0544"/>
    <w:rsid w:val="00CB07D4"/>
    <w:rsid w:val="00CB140F"/>
    <w:rsid w:val="00CB3B66"/>
    <w:rsid w:val="00CB49CC"/>
    <w:rsid w:val="00CB634F"/>
    <w:rsid w:val="00CB68C1"/>
    <w:rsid w:val="00CC01B4"/>
    <w:rsid w:val="00CC1693"/>
    <w:rsid w:val="00CC1977"/>
    <w:rsid w:val="00CC1F56"/>
    <w:rsid w:val="00CC2185"/>
    <w:rsid w:val="00CC28DD"/>
    <w:rsid w:val="00CC28F0"/>
    <w:rsid w:val="00CC4601"/>
    <w:rsid w:val="00CC75A2"/>
    <w:rsid w:val="00CD2162"/>
    <w:rsid w:val="00CD257A"/>
    <w:rsid w:val="00CD3404"/>
    <w:rsid w:val="00CD49EF"/>
    <w:rsid w:val="00CE0348"/>
    <w:rsid w:val="00CE0A84"/>
    <w:rsid w:val="00CE2194"/>
    <w:rsid w:val="00CE2B09"/>
    <w:rsid w:val="00CE332C"/>
    <w:rsid w:val="00CE361F"/>
    <w:rsid w:val="00CE423E"/>
    <w:rsid w:val="00CE43C1"/>
    <w:rsid w:val="00CE5C2C"/>
    <w:rsid w:val="00CE67AF"/>
    <w:rsid w:val="00CE75AA"/>
    <w:rsid w:val="00CE78C7"/>
    <w:rsid w:val="00CE7ACF"/>
    <w:rsid w:val="00CF058B"/>
    <w:rsid w:val="00CF2A98"/>
    <w:rsid w:val="00CF3411"/>
    <w:rsid w:val="00CF4A6E"/>
    <w:rsid w:val="00CF4BC5"/>
    <w:rsid w:val="00CF50D5"/>
    <w:rsid w:val="00CF777C"/>
    <w:rsid w:val="00D02747"/>
    <w:rsid w:val="00D029A4"/>
    <w:rsid w:val="00D03FFF"/>
    <w:rsid w:val="00D04521"/>
    <w:rsid w:val="00D04ECE"/>
    <w:rsid w:val="00D06D99"/>
    <w:rsid w:val="00D071E2"/>
    <w:rsid w:val="00D1011A"/>
    <w:rsid w:val="00D107B7"/>
    <w:rsid w:val="00D10B56"/>
    <w:rsid w:val="00D1120B"/>
    <w:rsid w:val="00D11B8A"/>
    <w:rsid w:val="00D14664"/>
    <w:rsid w:val="00D1516A"/>
    <w:rsid w:val="00D156EF"/>
    <w:rsid w:val="00D15A36"/>
    <w:rsid w:val="00D17363"/>
    <w:rsid w:val="00D175D4"/>
    <w:rsid w:val="00D226A0"/>
    <w:rsid w:val="00D23A5D"/>
    <w:rsid w:val="00D2472C"/>
    <w:rsid w:val="00D25DED"/>
    <w:rsid w:val="00D27175"/>
    <w:rsid w:val="00D27F69"/>
    <w:rsid w:val="00D304CE"/>
    <w:rsid w:val="00D3157C"/>
    <w:rsid w:val="00D322B2"/>
    <w:rsid w:val="00D32626"/>
    <w:rsid w:val="00D3322D"/>
    <w:rsid w:val="00D336F1"/>
    <w:rsid w:val="00D33D96"/>
    <w:rsid w:val="00D34C10"/>
    <w:rsid w:val="00D35671"/>
    <w:rsid w:val="00D364E5"/>
    <w:rsid w:val="00D36EFB"/>
    <w:rsid w:val="00D37658"/>
    <w:rsid w:val="00D378F4"/>
    <w:rsid w:val="00D405C9"/>
    <w:rsid w:val="00D41184"/>
    <w:rsid w:val="00D42666"/>
    <w:rsid w:val="00D428E9"/>
    <w:rsid w:val="00D429D4"/>
    <w:rsid w:val="00D431F7"/>
    <w:rsid w:val="00D434B3"/>
    <w:rsid w:val="00D438F6"/>
    <w:rsid w:val="00D462FD"/>
    <w:rsid w:val="00D47061"/>
    <w:rsid w:val="00D47CF4"/>
    <w:rsid w:val="00D50925"/>
    <w:rsid w:val="00D51DE3"/>
    <w:rsid w:val="00D5212F"/>
    <w:rsid w:val="00D524A5"/>
    <w:rsid w:val="00D52D57"/>
    <w:rsid w:val="00D52EB8"/>
    <w:rsid w:val="00D53012"/>
    <w:rsid w:val="00D543E3"/>
    <w:rsid w:val="00D545FF"/>
    <w:rsid w:val="00D54698"/>
    <w:rsid w:val="00D547BF"/>
    <w:rsid w:val="00D557FA"/>
    <w:rsid w:val="00D55B7D"/>
    <w:rsid w:val="00D567E2"/>
    <w:rsid w:val="00D56D8A"/>
    <w:rsid w:val="00D57FBF"/>
    <w:rsid w:val="00D6208B"/>
    <w:rsid w:val="00D6219D"/>
    <w:rsid w:val="00D6323D"/>
    <w:rsid w:val="00D65736"/>
    <w:rsid w:val="00D66FE3"/>
    <w:rsid w:val="00D67916"/>
    <w:rsid w:val="00D70277"/>
    <w:rsid w:val="00D704F2"/>
    <w:rsid w:val="00D7082A"/>
    <w:rsid w:val="00D73494"/>
    <w:rsid w:val="00D7470A"/>
    <w:rsid w:val="00D7479B"/>
    <w:rsid w:val="00D74FC4"/>
    <w:rsid w:val="00D76498"/>
    <w:rsid w:val="00D83A6E"/>
    <w:rsid w:val="00D83CBF"/>
    <w:rsid w:val="00D86780"/>
    <w:rsid w:val="00D86E4E"/>
    <w:rsid w:val="00D870BB"/>
    <w:rsid w:val="00D878B0"/>
    <w:rsid w:val="00D87BDD"/>
    <w:rsid w:val="00D91D57"/>
    <w:rsid w:val="00D93AA3"/>
    <w:rsid w:val="00D94156"/>
    <w:rsid w:val="00D94439"/>
    <w:rsid w:val="00D94CAD"/>
    <w:rsid w:val="00D961CE"/>
    <w:rsid w:val="00DA0274"/>
    <w:rsid w:val="00DA15E3"/>
    <w:rsid w:val="00DA2039"/>
    <w:rsid w:val="00DA3C24"/>
    <w:rsid w:val="00DA769A"/>
    <w:rsid w:val="00DA77C1"/>
    <w:rsid w:val="00DB1203"/>
    <w:rsid w:val="00DB226F"/>
    <w:rsid w:val="00DB358B"/>
    <w:rsid w:val="00DB4813"/>
    <w:rsid w:val="00DB6228"/>
    <w:rsid w:val="00DC0A30"/>
    <w:rsid w:val="00DC208C"/>
    <w:rsid w:val="00DC3A8C"/>
    <w:rsid w:val="00DC3E5C"/>
    <w:rsid w:val="00DC5AA2"/>
    <w:rsid w:val="00DC5F49"/>
    <w:rsid w:val="00DC77D8"/>
    <w:rsid w:val="00DC7BEC"/>
    <w:rsid w:val="00DD1746"/>
    <w:rsid w:val="00DD230C"/>
    <w:rsid w:val="00DD2C0F"/>
    <w:rsid w:val="00DD33B7"/>
    <w:rsid w:val="00DD53ED"/>
    <w:rsid w:val="00DD6470"/>
    <w:rsid w:val="00DE073C"/>
    <w:rsid w:val="00DE16E9"/>
    <w:rsid w:val="00DE4365"/>
    <w:rsid w:val="00DE4C6F"/>
    <w:rsid w:val="00DE540F"/>
    <w:rsid w:val="00DE590D"/>
    <w:rsid w:val="00DE7D08"/>
    <w:rsid w:val="00DF1AC1"/>
    <w:rsid w:val="00DF2428"/>
    <w:rsid w:val="00DF4CF1"/>
    <w:rsid w:val="00DF5BE5"/>
    <w:rsid w:val="00DF7ED7"/>
    <w:rsid w:val="00E01B46"/>
    <w:rsid w:val="00E03E4E"/>
    <w:rsid w:val="00E056DF"/>
    <w:rsid w:val="00E05F95"/>
    <w:rsid w:val="00E06324"/>
    <w:rsid w:val="00E06ED7"/>
    <w:rsid w:val="00E07321"/>
    <w:rsid w:val="00E1002B"/>
    <w:rsid w:val="00E109B2"/>
    <w:rsid w:val="00E10E7E"/>
    <w:rsid w:val="00E11C47"/>
    <w:rsid w:val="00E1400B"/>
    <w:rsid w:val="00E1568C"/>
    <w:rsid w:val="00E167E1"/>
    <w:rsid w:val="00E17B51"/>
    <w:rsid w:val="00E2186A"/>
    <w:rsid w:val="00E22379"/>
    <w:rsid w:val="00E223EE"/>
    <w:rsid w:val="00E2249A"/>
    <w:rsid w:val="00E2251F"/>
    <w:rsid w:val="00E22B76"/>
    <w:rsid w:val="00E23114"/>
    <w:rsid w:val="00E241C5"/>
    <w:rsid w:val="00E24611"/>
    <w:rsid w:val="00E2474A"/>
    <w:rsid w:val="00E2521C"/>
    <w:rsid w:val="00E2527F"/>
    <w:rsid w:val="00E261DB"/>
    <w:rsid w:val="00E271BE"/>
    <w:rsid w:val="00E30209"/>
    <w:rsid w:val="00E30A8D"/>
    <w:rsid w:val="00E30C20"/>
    <w:rsid w:val="00E30E91"/>
    <w:rsid w:val="00E30EBB"/>
    <w:rsid w:val="00E32499"/>
    <w:rsid w:val="00E324D9"/>
    <w:rsid w:val="00E32671"/>
    <w:rsid w:val="00E32B5E"/>
    <w:rsid w:val="00E33420"/>
    <w:rsid w:val="00E33485"/>
    <w:rsid w:val="00E33D2F"/>
    <w:rsid w:val="00E35B52"/>
    <w:rsid w:val="00E35D4E"/>
    <w:rsid w:val="00E363D3"/>
    <w:rsid w:val="00E36A11"/>
    <w:rsid w:val="00E3701D"/>
    <w:rsid w:val="00E41448"/>
    <w:rsid w:val="00E41E7A"/>
    <w:rsid w:val="00E42235"/>
    <w:rsid w:val="00E4272F"/>
    <w:rsid w:val="00E42760"/>
    <w:rsid w:val="00E42FD5"/>
    <w:rsid w:val="00E44568"/>
    <w:rsid w:val="00E44ABB"/>
    <w:rsid w:val="00E464A5"/>
    <w:rsid w:val="00E503CA"/>
    <w:rsid w:val="00E507F8"/>
    <w:rsid w:val="00E539C9"/>
    <w:rsid w:val="00E53EE6"/>
    <w:rsid w:val="00E57717"/>
    <w:rsid w:val="00E6040B"/>
    <w:rsid w:val="00E610C7"/>
    <w:rsid w:val="00E62986"/>
    <w:rsid w:val="00E646C5"/>
    <w:rsid w:val="00E66C39"/>
    <w:rsid w:val="00E67AC7"/>
    <w:rsid w:val="00E67B73"/>
    <w:rsid w:val="00E70CC7"/>
    <w:rsid w:val="00E727B4"/>
    <w:rsid w:val="00E731FB"/>
    <w:rsid w:val="00E73281"/>
    <w:rsid w:val="00E758B8"/>
    <w:rsid w:val="00E773A0"/>
    <w:rsid w:val="00E777CD"/>
    <w:rsid w:val="00E77F0E"/>
    <w:rsid w:val="00E82285"/>
    <w:rsid w:val="00E82E1A"/>
    <w:rsid w:val="00E84C3B"/>
    <w:rsid w:val="00E85022"/>
    <w:rsid w:val="00E85235"/>
    <w:rsid w:val="00E91702"/>
    <w:rsid w:val="00E9493D"/>
    <w:rsid w:val="00E9568F"/>
    <w:rsid w:val="00E95850"/>
    <w:rsid w:val="00E9755F"/>
    <w:rsid w:val="00E97676"/>
    <w:rsid w:val="00EA1FDF"/>
    <w:rsid w:val="00EA3FB1"/>
    <w:rsid w:val="00EA48FC"/>
    <w:rsid w:val="00EA578C"/>
    <w:rsid w:val="00EA6048"/>
    <w:rsid w:val="00EA69C3"/>
    <w:rsid w:val="00EB0D59"/>
    <w:rsid w:val="00EB2203"/>
    <w:rsid w:val="00EB3CD1"/>
    <w:rsid w:val="00EB3FD4"/>
    <w:rsid w:val="00EB5174"/>
    <w:rsid w:val="00EB5501"/>
    <w:rsid w:val="00EB6137"/>
    <w:rsid w:val="00EB75FE"/>
    <w:rsid w:val="00EC031D"/>
    <w:rsid w:val="00EC2985"/>
    <w:rsid w:val="00EC2BED"/>
    <w:rsid w:val="00EC33B7"/>
    <w:rsid w:val="00EC366B"/>
    <w:rsid w:val="00EC46C2"/>
    <w:rsid w:val="00EC5738"/>
    <w:rsid w:val="00EC59F5"/>
    <w:rsid w:val="00EC5AD3"/>
    <w:rsid w:val="00EC5BA4"/>
    <w:rsid w:val="00ED063F"/>
    <w:rsid w:val="00ED0939"/>
    <w:rsid w:val="00ED1122"/>
    <w:rsid w:val="00ED270D"/>
    <w:rsid w:val="00ED2AE8"/>
    <w:rsid w:val="00ED3AF7"/>
    <w:rsid w:val="00ED3D48"/>
    <w:rsid w:val="00ED5328"/>
    <w:rsid w:val="00ED5F67"/>
    <w:rsid w:val="00ED78F3"/>
    <w:rsid w:val="00ED7CDD"/>
    <w:rsid w:val="00ED7FF2"/>
    <w:rsid w:val="00EE1216"/>
    <w:rsid w:val="00EE185E"/>
    <w:rsid w:val="00EE25F1"/>
    <w:rsid w:val="00EE2690"/>
    <w:rsid w:val="00EE7F07"/>
    <w:rsid w:val="00EF05BC"/>
    <w:rsid w:val="00EF0FD8"/>
    <w:rsid w:val="00EF15E7"/>
    <w:rsid w:val="00EF1801"/>
    <w:rsid w:val="00EF18F6"/>
    <w:rsid w:val="00EF6920"/>
    <w:rsid w:val="00EF6E58"/>
    <w:rsid w:val="00F001FB"/>
    <w:rsid w:val="00F00DC9"/>
    <w:rsid w:val="00F0205A"/>
    <w:rsid w:val="00F02400"/>
    <w:rsid w:val="00F0364C"/>
    <w:rsid w:val="00F03A6F"/>
    <w:rsid w:val="00F078B5"/>
    <w:rsid w:val="00F10DEC"/>
    <w:rsid w:val="00F11670"/>
    <w:rsid w:val="00F1255B"/>
    <w:rsid w:val="00F12E05"/>
    <w:rsid w:val="00F15261"/>
    <w:rsid w:val="00F154C7"/>
    <w:rsid w:val="00F15CE1"/>
    <w:rsid w:val="00F15F42"/>
    <w:rsid w:val="00F1642E"/>
    <w:rsid w:val="00F1677C"/>
    <w:rsid w:val="00F17571"/>
    <w:rsid w:val="00F1782D"/>
    <w:rsid w:val="00F17ECD"/>
    <w:rsid w:val="00F20C31"/>
    <w:rsid w:val="00F22E84"/>
    <w:rsid w:val="00F24F9C"/>
    <w:rsid w:val="00F250EB"/>
    <w:rsid w:val="00F27628"/>
    <w:rsid w:val="00F30AB9"/>
    <w:rsid w:val="00F315F1"/>
    <w:rsid w:val="00F35124"/>
    <w:rsid w:val="00F361CB"/>
    <w:rsid w:val="00F36AAB"/>
    <w:rsid w:val="00F372AC"/>
    <w:rsid w:val="00F3751F"/>
    <w:rsid w:val="00F448F4"/>
    <w:rsid w:val="00F45702"/>
    <w:rsid w:val="00F4657D"/>
    <w:rsid w:val="00F473E8"/>
    <w:rsid w:val="00F5018A"/>
    <w:rsid w:val="00F50FEA"/>
    <w:rsid w:val="00F51A53"/>
    <w:rsid w:val="00F52C04"/>
    <w:rsid w:val="00F53597"/>
    <w:rsid w:val="00F546B8"/>
    <w:rsid w:val="00F5588A"/>
    <w:rsid w:val="00F56210"/>
    <w:rsid w:val="00F56C74"/>
    <w:rsid w:val="00F56F4B"/>
    <w:rsid w:val="00F57024"/>
    <w:rsid w:val="00F57207"/>
    <w:rsid w:val="00F5747F"/>
    <w:rsid w:val="00F606DB"/>
    <w:rsid w:val="00F61086"/>
    <w:rsid w:val="00F63A66"/>
    <w:rsid w:val="00F63B84"/>
    <w:rsid w:val="00F63E9A"/>
    <w:rsid w:val="00F644D9"/>
    <w:rsid w:val="00F6452C"/>
    <w:rsid w:val="00F656A9"/>
    <w:rsid w:val="00F65CED"/>
    <w:rsid w:val="00F6623A"/>
    <w:rsid w:val="00F6670A"/>
    <w:rsid w:val="00F66DF8"/>
    <w:rsid w:val="00F67A5A"/>
    <w:rsid w:val="00F67ECF"/>
    <w:rsid w:val="00F70120"/>
    <w:rsid w:val="00F71CB9"/>
    <w:rsid w:val="00F72138"/>
    <w:rsid w:val="00F72C3B"/>
    <w:rsid w:val="00F73E58"/>
    <w:rsid w:val="00F73F15"/>
    <w:rsid w:val="00F74539"/>
    <w:rsid w:val="00F75E1E"/>
    <w:rsid w:val="00F76FC5"/>
    <w:rsid w:val="00F77FC6"/>
    <w:rsid w:val="00F82F95"/>
    <w:rsid w:val="00F83D39"/>
    <w:rsid w:val="00F842CC"/>
    <w:rsid w:val="00F8543D"/>
    <w:rsid w:val="00F86113"/>
    <w:rsid w:val="00F86942"/>
    <w:rsid w:val="00F86C2F"/>
    <w:rsid w:val="00F87FDE"/>
    <w:rsid w:val="00F9086D"/>
    <w:rsid w:val="00F908C4"/>
    <w:rsid w:val="00F9496E"/>
    <w:rsid w:val="00F95F59"/>
    <w:rsid w:val="00F961DB"/>
    <w:rsid w:val="00F96741"/>
    <w:rsid w:val="00FA211A"/>
    <w:rsid w:val="00FA215F"/>
    <w:rsid w:val="00FA390E"/>
    <w:rsid w:val="00FA3A5D"/>
    <w:rsid w:val="00FA5054"/>
    <w:rsid w:val="00FA6FA2"/>
    <w:rsid w:val="00FA7C85"/>
    <w:rsid w:val="00FA7DC9"/>
    <w:rsid w:val="00FB1764"/>
    <w:rsid w:val="00FB198E"/>
    <w:rsid w:val="00FB1CB0"/>
    <w:rsid w:val="00FB1E4E"/>
    <w:rsid w:val="00FB5172"/>
    <w:rsid w:val="00FB55C4"/>
    <w:rsid w:val="00FB698D"/>
    <w:rsid w:val="00FC0283"/>
    <w:rsid w:val="00FC076E"/>
    <w:rsid w:val="00FC11EF"/>
    <w:rsid w:val="00FC24B4"/>
    <w:rsid w:val="00FC2908"/>
    <w:rsid w:val="00FC2B1E"/>
    <w:rsid w:val="00FC2B68"/>
    <w:rsid w:val="00FC2EB0"/>
    <w:rsid w:val="00FC3950"/>
    <w:rsid w:val="00FC47E4"/>
    <w:rsid w:val="00FC49E1"/>
    <w:rsid w:val="00FC66BD"/>
    <w:rsid w:val="00FD1537"/>
    <w:rsid w:val="00FD1EDE"/>
    <w:rsid w:val="00FD3B68"/>
    <w:rsid w:val="00FD47E8"/>
    <w:rsid w:val="00FD4995"/>
    <w:rsid w:val="00FD65F2"/>
    <w:rsid w:val="00FD755F"/>
    <w:rsid w:val="00FD7AFE"/>
    <w:rsid w:val="00FE0A97"/>
    <w:rsid w:val="00FE0ABD"/>
    <w:rsid w:val="00FE12EB"/>
    <w:rsid w:val="00FE1A58"/>
    <w:rsid w:val="00FE2D4E"/>
    <w:rsid w:val="00FE3AFA"/>
    <w:rsid w:val="00FE3C28"/>
    <w:rsid w:val="00FE51E1"/>
    <w:rsid w:val="00FE5975"/>
    <w:rsid w:val="00FE621B"/>
    <w:rsid w:val="00FE6D8D"/>
    <w:rsid w:val="00FF362B"/>
    <w:rsid w:val="00FF3753"/>
    <w:rsid w:val="00FF4585"/>
    <w:rsid w:val="01144D2A"/>
    <w:rsid w:val="012B077A"/>
    <w:rsid w:val="014462EA"/>
    <w:rsid w:val="0151776B"/>
    <w:rsid w:val="015261C0"/>
    <w:rsid w:val="0167404B"/>
    <w:rsid w:val="01932ECA"/>
    <w:rsid w:val="01982698"/>
    <w:rsid w:val="01983299"/>
    <w:rsid w:val="01B405AB"/>
    <w:rsid w:val="01BD21F4"/>
    <w:rsid w:val="01E444E7"/>
    <w:rsid w:val="01E874E1"/>
    <w:rsid w:val="01F01D2C"/>
    <w:rsid w:val="02017D22"/>
    <w:rsid w:val="0212526D"/>
    <w:rsid w:val="022574AB"/>
    <w:rsid w:val="02551247"/>
    <w:rsid w:val="025732E0"/>
    <w:rsid w:val="026A34D9"/>
    <w:rsid w:val="02723CBE"/>
    <w:rsid w:val="02734221"/>
    <w:rsid w:val="02756900"/>
    <w:rsid w:val="027C1FF7"/>
    <w:rsid w:val="02877713"/>
    <w:rsid w:val="02881F31"/>
    <w:rsid w:val="02993EE3"/>
    <w:rsid w:val="02B313FF"/>
    <w:rsid w:val="02D20696"/>
    <w:rsid w:val="02D84D55"/>
    <w:rsid w:val="02D95F00"/>
    <w:rsid w:val="031267D5"/>
    <w:rsid w:val="03206F6F"/>
    <w:rsid w:val="032C163D"/>
    <w:rsid w:val="0334595A"/>
    <w:rsid w:val="034137A5"/>
    <w:rsid w:val="03626983"/>
    <w:rsid w:val="03663F29"/>
    <w:rsid w:val="036F4A2D"/>
    <w:rsid w:val="03711BC7"/>
    <w:rsid w:val="038A748A"/>
    <w:rsid w:val="038B37B6"/>
    <w:rsid w:val="0391228D"/>
    <w:rsid w:val="039E3338"/>
    <w:rsid w:val="03C54733"/>
    <w:rsid w:val="03CD1CF0"/>
    <w:rsid w:val="03FB684A"/>
    <w:rsid w:val="03FF1147"/>
    <w:rsid w:val="042560FA"/>
    <w:rsid w:val="042C5ABB"/>
    <w:rsid w:val="042F373A"/>
    <w:rsid w:val="04473D10"/>
    <w:rsid w:val="04497378"/>
    <w:rsid w:val="046E7EA4"/>
    <w:rsid w:val="04A2731C"/>
    <w:rsid w:val="04A47A56"/>
    <w:rsid w:val="04C7018B"/>
    <w:rsid w:val="04C843E4"/>
    <w:rsid w:val="04CD48EE"/>
    <w:rsid w:val="04CF2835"/>
    <w:rsid w:val="04D0127F"/>
    <w:rsid w:val="04DF38E7"/>
    <w:rsid w:val="04E05045"/>
    <w:rsid w:val="04F24539"/>
    <w:rsid w:val="04F63AB3"/>
    <w:rsid w:val="05182FB6"/>
    <w:rsid w:val="05321803"/>
    <w:rsid w:val="053D5612"/>
    <w:rsid w:val="05637278"/>
    <w:rsid w:val="056710A4"/>
    <w:rsid w:val="0571031D"/>
    <w:rsid w:val="058109AB"/>
    <w:rsid w:val="05946A94"/>
    <w:rsid w:val="05E8435A"/>
    <w:rsid w:val="0609033F"/>
    <w:rsid w:val="061F3A3B"/>
    <w:rsid w:val="06212C8B"/>
    <w:rsid w:val="06246115"/>
    <w:rsid w:val="06253415"/>
    <w:rsid w:val="06657988"/>
    <w:rsid w:val="06905F04"/>
    <w:rsid w:val="06910B7F"/>
    <w:rsid w:val="0696324D"/>
    <w:rsid w:val="06A17266"/>
    <w:rsid w:val="06A85803"/>
    <w:rsid w:val="06EE3039"/>
    <w:rsid w:val="06F26FF3"/>
    <w:rsid w:val="06F935B0"/>
    <w:rsid w:val="06FF113C"/>
    <w:rsid w:val="07275992"/>
    <w:rsid w:val="072A5B17"/>
    <w:rsid w:val="07366ED6"/>
    <w:rsid w:val="07431D36"/>
    <w:rsid w:val="074C5A33"/>
    <w:rsid w:val="074E069C"/>
    <w:rsid w:val="07562B32"/>
    <w:rsid w:val="0758425B"/>
    <w:rsid w:val="077879F9"/>
    <w:rsid w:val="078A52CA"/>
    <w:rsid w:val="07B65F3C"/>
    <w:rsid w:val="07B93849"/>
    <w:rsid w:val="07E73C58"/>
    <w:rsid w:val="07E9206D"/>
    <w:rsid w:val="07F103DF"/>
    <w:rsid w:val="07F30660"/>
    <w:rsid w:val="08006DF5"/>
    <w:rsid w:val="08014684"/>
    <w:rsid w:val="08046CEE"/>
    <w:rsid w:val="082C3D26"/>
    <w:rsid w:val="082F1020"/>
    <w:rsid w:val="083105B1"/>
    <w:rsid w:val="083B36BF"/>
    <w:rsid w:val="083D00E3"/>
    <w:rsid w:val="0855770E"/>
    <w:rsid w:val="085D6BF3"/>
    <w:rsid w:val="087A56F0"/>
    <w:rsid w:val="087F2B6E"/>
    <w:rsid w:val="087F6A0E"/>
    <w:rsid w:val="089E6068"/>
    <w:rsid w:val="08B066EA"/>
    <w:rsid w:val="08DE6001"/>
    <w:rsid w:val="09006093"/>
    <w:rsid w:val="09016257"/>
    <w:rsid w:val="090F64C1"/>
    <w:rsid w:val="09127757"/>
    <w:rsid w:val="09200F6F"/>
    <w:rsid w:val="09470E76"/>
    <w:rsid w:val="094C32AC"/>
    <w:rsid w:val="096904A2"/>
    <w:rsid w:val="097F798B"/>
    <w:rsid w:val="09881A11"/>
    <w:rsid w:val="09892899"/>
    <w:rsid w:val="0995132F"/>
    <w:rsid w:val="099764EA"/>
    <w:rsid w:val="09A4371B"/>
    <w:rsid w:val="09A8644F"/>
    <w:rsid w:val="09B5627B"/>
    <w:rsid w:val="09C76439"/>
    <w:rsid w:val="09EA2CB8"/>
    <w:rsid w:val="09EF4C1D"/>
    <w:rsid w:val="0A0A5760"/>
    <w:rsid w:val="0A1477AE"/>
    <w:rsid w:val="0A232419"/>
    <w:rsid w:val="0A39641C"/>
    <w:rsid w:val="0A550E2E"/>
    <w:rsid w:val="0A56158A"/>
    <w:rsid w:val="0A626493"/>
    <w:rsid w:val="0A6A629A"/>
    <w:rsid w:val="0A753E8C"/>
    <w:rsid w:val="0AA3501C"/>
    <w:rsid w:val="0AA94406"/>
    <w:rsid w:val="0AB41B8F"/>
    <w:rsid w:val="0AB61724"/>
    <w:rsid w:val="0AB65924"/>
    <w:rsid w:val="0AD56B73"/>
    <w:rsid w:val="0AD661DD"/>
    <w:rsid w:val="0AEB791E"/>
    <w:rsid w:val="0AF937B2"/>
    <w:rsid w:val="0AFA4806"/>
    <w:rsid w:val="0B031CD5"/>
    <w:rsid w:val="0B093D05"/>
    <w:rsid w:val="0B1004BF"/>
    <w:rsid w:val="0B18549E"/>
    <w:rsid w:val="0B3A56A5"/>
    <w:rsid w:val="0B4E5F30"/>
    <w:rsid w:val="0B8D66E4"/>
    <w:rsid w:val="0B93530B"/>
    <w:rsid w:val="0BB00FA6"/>
    <w:rsid w:val="0BB0201B"/>
    <w:rsid w:val="0BC1341C"/>
    <w:rsid w:val="0BE61069"/>
    <w:rsid w:val="0BED7265"/>
    <w:rsid w:val="0C093A44"/>
    <w:rsid w:val="0C11129F"/>
    <w:rsid w:val="0C1F02CA"/>
    <w:rsid w:val="0C280E4A"/>
    <w:rsid w:val="0C312EBD"/>
    <w:rsid w:val="0C3B6991"/>
    <w:rsid w:val="0C5268ED"/>
    <w:rsid w:val="0C540418"/>
    <w:rsid w:val="0C5F3B38"/>
    <w:rsid w:val="0C802837"/>
    <w:rsid w:val="0C8D4B24"/>
    <w:rsid w:val="0C9B5403"/>
    <w:rsid w:val="0CA95ADD"/>
    <w:rsid w:val="0CAD143F"/>
    <w:rsid w:val="0CB2714D"/>
    <w:rsid w:val="0CB34861"/>
    <w:rsid w:val="0CDA112A"/>
    <w:rsid w:val="0CE97220"/>
    <w:rsid w:val="0CEB753A"/>
    <w:rsid w:val="0D01309C"/>
    <w:rsid w:val="0D155CE3"/>
    <w:rsid w:val="0D213DB1"/>
    <w:rsid w:val="0D2A3235"/>
    <w:rsid w:val="0D390BF1"/>
    <w:rsid w:val="0D485535"/>
    <w:rsid w:val="0D4961DF"/>
    <w:rsid w:val="0D675250"/>
    <w:rsid w:val="0D827C3B"/>
    <w:rsid w:val="0DA40429"/>
    <w:rsid w:val="0DA40503"/>
    <w:rsid w:val="0DAA50B6"/>
    <w:rsid w:val="0DBF4822"/>
    <w:rsid w:val="0DC14423"/>
    <w:rsid w:val="0DC74011"/>
    <w:rsid w:val="0DE33029"/>
    <w:rsid w:val="0DE85AF2"/>
    <w:rsid w:val="0DF942E3"/>
    <w:rsid w:val="0E066C64"/>
    <w:rsid w:val="0E181F56"/>
    <w:rsid w:val="0E284CA5"/>
    <w:rsid w:val="0E811589"/>
    <w:rsid w:val="0E8301C9"/>
    <w:rsid w:val="0EAC7296"/>
    <w:rsid w:val="0EB70A81"/>
    <w:rsid w:val="0ECC152A"/>
    <w:rsid w:val="0ED135A9"/>
    <w:rsid w:val="0ED75B70"/>
    <w:rsid w:val="0ED907D7"/>
    <w:rsid w:val="0EE34A24"/>
    <w:rsid w:val="0EEB3C80"/>
    <w:rsid w:val="0EEE1FD4"/>
    <w:rsid w:val="0EF12230"/>
    <w:rsid w:val="0EF22843"/>
    <w:rsid w:val="0F1D0E47"/>
    <w:rsid w:val="0F204B71"/>
    <w:rsid w:val="0F2329D1"/>
    <w:rsid w:val="0F2E6F68"/>
    <w:rsid w:val="0F3D2F39"/>
    <w:rsid w:val="0F414733"/>
    <w:rsid w:val="0F4707AF"/>
    <w:rsid w:val="0F61576B"/>
    <w:rsid w:val="0F6B1F17"/>
    <w:rsid w:val="0F8101F2"/>
    <w:rsid w:val="0F835D5F"/>
    <w:rsid w:val="0F8B4CE8"/>
    <w:rsid w:val="0FA20D13"/>
    <w:rsid w:val="0FA774C9"/>
    <w:rsid w:val="0FB81FAB"/>
    <w:rsid w:val="0FB93CD8"/>
    <w:rsid w:val="0FBC1346"/>
    <w:rsid w:val="0FC61121"/>
    <w:rsid w:val="0FC74183"/>
    <w:rsid w:val="0FD1260E"/>
    <w:rsid w:val="0FEF7EFC"/>
    <w:rsid w:val="0FFE5545"/>
    <w:rsid w:val="10120107"/>
    <w:rsid w:val="1013368E"/>
    <w:rsid w:val="10282107"/>
    <w:rsid w:val="10327D99"/>
    <w:rsid w:val="10371910"/>
    <w:rsid w:val="10477B3F"/>
    <w:rsid w:val="105302EA"/>
    <w:rsid w:val="106E0334"/>
    <w:rsid w:val="10804765"/>
    <w:rsid w:val="10891A59"/>
    <w:rsid w:val="10D15E8F"/>
    <w:rsid w:val="10DE7C6C"/>
    <w:rsid w:val="10FC24F9"/>
    <w:rsid w:val="11146A56"/>
    <w:rsid w:val="11162CD7"/>
    <w:rsid w:val="11187D30"/>
    <w:rsid w:val="11200C69"/>
    <w:rsid w:val="112568C8"/>
    <w:rsid w:val="112C3643"/>
    <w:rsid w:val="112D306E"/>
    <w:rsid w:val="11437659"/>
    <w:rsid w:val="11504648"/>
    <w:rsid w:val="11716E1F"/>
    <w:rsid w:val="118152E1"/>
    <w:rsid w:val="118B12FF"/>
    <w:rsid w:val="118F759C"/>
    <w:rsid w:val="119126EF"/>
    <w:rsid w:val="119E4871"/>
    <w:rsid w:val="11B95077"/>
    <w:rsid w:val="11BB31E6"/>
    <w:rsid w:val="11CA1EDD"/>
    <w:rsid w:val="11D60DA8"/>
    <w:rsid w:val="11E11F83"/>
    <w:rsid w:val="11E665D1"/>
    <w:rsid w:val="11F34B48"/>
    <w:rsid w:val="11F42B7D"/>
    <w:rsid w:val="11FF3A2B"/>
    <w:rsid w:val="12005F17"/>
    <w:rsid w:val="12101010"/>
    <w:rsid w:val="1227152D"/>
    <w:rsid w:val="12364CCD"/>
    <w:rsid w:val="12367621"/>
    <w:rsid w:val="123E01A1"/>
    <w:rsid w:val="124246B7"/>
    <w:rsid w:val="12517E2E"/>
    <w:rsid w:val="125363B3"/>
    <w:rsid w:val="12735BD8"/>
    <w:rsid w:val="127E66A3"/>
    <w:rsid w:val="12921F8D"/>
    <w:rsid w:val="129466D5"/>
    <w:rsid w:val="12994948"/>
    <w:rsid w:val="129B378E"/>
    <w:rsid w:val="12A3525A"/>
    <w:rsid w:val="12A96D72"/>
    <w:rsid w:val="12AB4E3F"/>
    <w:rsid w:val="12B1600A"/>
    <w:rsid w:val="12BE1A51"/>
    <w:rsid w:val="12C70F28"/>
    <w:rsid w:val="12D37F89"/>
    <w:rsid w:val="12D64F26"/>
    <w:rsid w:val="12DF0F18"/>
    <w:rsid w:val="13040BD1"/>
    <w:rsid w:val="130B1062"/>
    <w:rsid w:val="13105B1E"/>
    <w:rsid w:val="13126759"/>
    <w:rsid w:val="131C31F4"/>
    <w:rsid w:val="1330579E"/>
    <w:rsid w:val="134313FE"/>
    <w:rsid w:val="13476A87"/>
    <w:rsid w:val="13526140"/>
    <w:rsid w:val="135A26F8"/>
    <w:rsid w:val="136D68D6"/>
    <w:rsid w:val="13BB3384"/>
    <w:rsid w:val="13C076A6"/>
    <w:rsid w:val="13C7191F"/>
    <w:rsid w:val="13CA48DE"/>
    <w:rsid w:val="13D932F7"/>
    <w:rsid w:val="13E41EFF"/>
    <w:rsid w:val="13EF7003"/>
    <w:rsid w:val="142166A2"/>
    <w:rsid w:val="14225C42"/>
    <w:rsid w:val="14291E77"/>
    <w:rsid w:val="143C4208"/>
    <w:rsid w:val="144E2261"/>
    <w:rsid w:val="146D34C5"/>
    <w:rsid w:val="147D5111"/>
    <w:rsid w:val="14802BC7"/>
    <w:rsid w:val="14805369"/>
    <w:rsid w:val="14852F2D"/>
    <w:rsid w:val="14A00735"/>
    <w:rsid w:val="14A252DE"/>
    <w:rsid w:val="14B34F58"/>
    <w:rsid w:val="14BA3D24"/>
    <w:rsid w:val="14DB3363"/>
    <w:rsid w:val="14E40B5C"/>
    <w:rsid w:val="14E8535A"/>
    <w:rsid w:val="14E933E6"/>
    <w:rsid w:val="150256CD"/>
    <w:rsid w:val="15232716"/>
    <w:rsid w:val="152B48C1"/>
    <w:rsid w:val="152E09FF"/>
    <w:rsid w:val="15421373"/>
    <w:rsid w:val="155850CA"/>
    <w:rsid w:val="156057B3"/>
    <w:rsid w:val="15706BC6"/>
    <w:rsid w:val="15772AE8"/>
    <w:rsid w:val="157F4C0E"/>
    <w:rsid w:val="15833286"/>
    <w:rsid w:val="15966936"/>
    <w:rsid w:val="159F11A1"/>
    <w:rsid w:val="15A87880"/>
    <w:rsid w:val="15A95A13"/>
    <w:rsid w:val="15AC6D2F"/>
    <w:rsid w:val="15B009E1"/>
    <w:rsid w:val="15B717A2"/>
    <w:rsid w:val="15BD1B89"/>
    <w:rsid w:val="15BD287E"/>
    <w:rsid w:val="15BD3D89"/>
    <w:rsid w:val="15CC016D"/>
    <w:rsid w:val="15D37199"/>
    <w:rsid w:val="15D704F7"/>
    <w:rsid w:val="15DD4F51"/>
    <w:rsid w:val="15EE0181"/>
    <w:rsid w:val="15F91964"/>
    <w:rsid w:val="1609035B"/>
    <w:rsid w:val="16090526"/>
    <w:rsid w:val="160A7F69"/>
    <w:rsid w:val="160B35DD"/>
    <w:rsid w:val="162315FE"/>
    <w:rsid w:val="16241A15"/>
    <w:rsid w:val="166B5644"/>
    <w:rsid w:val="16760A18"/>
    <w:rsid w:val="167B358E"/>
    <w:rsid w:val="169074F0"/>
    <w:rsid w:val="1696033E"/>
    <w:rsid w:val="169A0D59"/>
    <w:rsid w:val="16B16832"/>
    <w:rsid w:val="16C12338"/>
    <w:rsid w:val="16C97B23"/>
    <w:rsid w:val="16CF0BD9"/>
    <w:rsid w:val="16CF2658"/>
    <w:rsid w:val="16D6003C"/>
    <w:rsid w:val="16F34467"/>
    <w:rsid w:val="17061EDA"/>
    <w:rsid w:val="17067F35"/>
    <w:rsid w:val="171F3337"/>
    <w:rsid w:val="17204962"/>
    <w:rsid w:val="17243CFE"/>
    <w:rsid w:val="17362E83"/>
    <w:rsid w:val="1741145A"/>
    <w:rsid w:val="17427980"/>
    <w:rsid w:val="174A62CD"/>
    <w:rsid w:val="174C4980"/>
    <w:rsid w:val="175B2DBC"/>
    <w:rsid w:val="17601FE1"/>
    <w:rsid w:val="17663A8F"/>
    <w:rsid w:val="17682FC6"/>
    <w:rsid w:val="17704EEC"/>
    <w:rsid w:val="17783D1C"/>
    <w:rsid w:val="177C08EF"/>
    <w:rsid w:val="177C6237"/>
    <w:rsid w:val="177F650F"/>
    <w:rsid w:val="17924EF3"/>
    <w:rsid w:val="17B53122"/>
    <w:rsid w:val="17B74721"/>
    <w:rsid w:val="17BD705D"/>
    <w:rsid w:val="180037BD"/>
    <w:rsid w:val="180B092C"/>
    <w:rsid w:val="180E0F57"/>
    <w:rsid w:val="18340F8D"/>
    <w:rsid w:val="186251F0"/>
    <w:rsid w:val="186F67E9"/>
    <w:rsid w:val="1872703B"/>
    <w:rsid w:val="188400A7"/>
    <w:rsid w:val="18875A77"/>
    <w:rsid w:val="188837F2"/>
    <w:rsid w:val="18CD26E5"/>
    <w:rsid w:val="18DE2207"/>
    <w:rsid w:val="18ED0341"/>
    <w:rsid w:val="18F33B13"/>
    <w:rsid w:val="190A4A4B"/>
    <w:rsid w:val="191A5BE5"/>
    <w:rsid w:val="192429CC"/>
    <w:rsid w:val="192E4A41"/>
    <w:rsid w:val="193D1D76"/>
    <w:rsid w:val="194859CB"/>
    <w:rsid w:val="196202C5"/>
    <w:rsid w:val="196A62FB"/>
    <w:rsid w:val="196D58DF"/>
    <w:rsid w:val="197D5E4A"/>
    <w:rsid w:val="198B5953"/>
    <w:rsid w:val="19923010"/>
    <w:rsid w:val="19985F99"/>
    <w:rsid w:val="19AF54A8"/>
    <w:rsid w:val="19D83052"/>
    <w:rsid w:val="19DA0F4B"/>
    <w:rsid w:val="19F14E8D"/>
    <w:rsid w:val="1A144133"/>
    <w:rsid w:val="1A1F6898"/>
    <w:rsid w:val="1A287AFC"/>
    <w:rsid w:val="1A5041ED"/>
    <w:rsid w:val="1A5E173E"/>
    <w:rsid w:val="1A6069F5"/>
    <w:rsid w:val="1A711A82"/>
    <w:rsid w:val="1A7318DB"/>
    <w:rsid w:val="1A7D61D4"/>
    <w:rsid w:val="1A811720"/>
    <w:rsid w:val="1A8520A8"/>
    <w:rsid w:val="1A8D6BBC"/>
    <w:rsid w:val="1A9771D1"/>
    <w:rsid w:val="1AA30790"/>
    <w:rsid w:val="1AB41EA9"/>
    <w:rsid w:val="1ABA650C"/>
    <w:rsid w:val="1ADB73F0"/>
    <w:rsid w:val="1ADF3732"/>
    <w:rsid w:val="1AF540CE"/>
    <w:rsid w:val="1AFA4ED4"/>
    <w:rsid w:val="1B3557E9"/>
    <w:rsid w:val="1B3C7631"/>
    <w:rsid w:val="1B481508"/>
    <w:rsid w:val="1B4C6F7F"/>
    <w:rsid w:val="1B4E2E55"/>
    <w:rsid w:val="1B5C79EE"/>
    <w:rsid w:val="1B662DCE"/>
    <w:rsid w:val="1B755585"/>
    <w:rsid w:val="1B7B3C06"/>
    <w:rsid w:val="1B855A1C"/>
    <w:rsid w:val="1BA45FEC"/>
    <w:rsid w:val="1BA54255"/>
    <w:rsid w:val="1BA61498"/>
    <w:rsid w:val="1BAF6246"/>
    <w:rsid w:val="1BB60CF0"/>
    <w:rsid w:val="1BCE37A4"/>
    <w:rsid w:val="1BD75199"/>
    <w:rsid w:val="1BE46844"/>
    <w:rsid w:val="1BEB1698"/>
    <w:rsid w:val="1BF95011"/>
    <w:rsid w:val="1BFB5303"/>
    <w:rsid w:val="1C0E1C11"/>
    <w:rsid w:val="1C173A3C"/>
    <w:rsid w:val="1C25277F"/>
    <w:rsid w:val="1C303454"/>
    <w:rsid w:val="1C3B0473"/>
    <w:rsid w:val="1C3F5186"/>
    <w:rsid w:val="1C433EB9"/>
    <w:rsid w:val="1C4719C0"/>
    <w:rsid w:val="1C4A5862"/>
    <w:rsid w:val="1C4C0722"/>
    <w:rsid w:val="1C676B38"/>
    <w:rsid w:val="1C840275"/>
    <w:rsid w:val="1CB4645C"/>
    <w:rsid w:val="1CBE7919"/>
    <w:rsid w:val="1CC80C0D"/>
    <w:rsid w:val="1CCB049D"/>
    <w:rsid w:val="1CD54C3E"/>
    <w:rsid w:val="1CDA3040"/>
    <w:rsid w:val="1CE45772"/>
    <w:rsid w:val="1CED4EE6"/>
    <w:rsid w:val="1CFA3E69"/>
    <w:rsid w:val="1D083CBA"/>
    <w:rsid w:val="1D0A3349"/>
    <w:rsid w:val="1D0F1882"/>
    <w:rsid w:val="1D1043C4"/>
    <w:rsid w:val="1D2C4F83"/>
    <w:rsid w:val="1D2D6F1D"/>
    <w:rsid w:val="1D4470C2"/>
    <w:rsid w:val="1D453166"/>
    <w:rsid w:val="1D5C12C2"/>
    <w:rsid w:val="1D6B37CE"/>
    <w:rsid w:val="1D7056E0"/>
    <w:rsid w:val="1D772C83"/>
    <w:rsid w:val="1D7B5355"/>
    <w:rsid w:val="1D847651"/>
    <w:rsid w:val="1DD00014"/>
    <w:rsid w:val="1DD13070"/>
    <w:rsid w:val="1DDE2546"/>
    <w:rsid w:val="1DDE33EB"/>
    <w:rsid w:val="1DE02889"/>
    <w:rsid w:val="1DF12A44"/>
    <w:rsid w:val="1E0C7324"/>
    <w:rsid w:val="1E255A8D"/>
    <w:rsid w:val="1E4B688B"/>
    <w:rsid w:val="1E4D109B"/>
    <w:rsid w:val="1E551741"/>
    <w:rsid w:val="1E8B2CD6"/>
    <w:rsid w:val="1EBA1146"/>
    <w:rsid w:val="1EC55652"/>
    <w:rsid w:val="1ECE3B3D"/>
    <w:rsid w:val="1ED662B3"/>
    <w:rsid w:val="1EE84E71"/>
    <w:rsid w:val="1EF26ED3"/>
    <w:rsid w:val="1EF44598"/>
    <w:rsid w:val="1EFD2CB5"/>
    <w:rsid w:val="1EFF0BE8"/>
    <w:rsid w:val="1F05793B"/>
    <w:rsid w:val="1F1112CD"/>
    <w:rsid w:val="1F1318C1"/>
    <w:rsid w:val="1F8510AE"/>
    <w:rsid w:val="1F8E4B17"/>
    <w:rsid w:val="1FA02178"/>
    <w:rsid w:val="1FA47695"/>
    <w:rsid w:val="1FAC1344"/>
    <w:rsid w:val="1FB844AF"/>
    <w:rsid w:val="1FC1091B"/>
    <w:rsid w:val="1FC16E59"/>
    <w:rsid w:val="1FD05D06"/>
    <w:rsid w:val="1FE5117C"/>
    <w:rsid w:val="2012291D"/>
    <w:rsid w:val="202E3C37"/>
    <w:rsid w:val="20307DD3"/>
    <w:rsid w:val="20414459"/>
    <w:rsid w:val="204154C6"/>
    <w:rsid w:val="20512331"/>
    <w:rsid w:val="20551BAB"/>
    <w:rsid w:val="20684AF8"/>
    <w:rsid w:val="206F4CEB"/>
    <w:rsid w:val="20733133"/>
    <w:rsid w:val="20777B38"/>
    <w:rsid w:val="207D0DF1"/>
    <w:rsid w:val="20857547"/>
    <w:rsid w:val="20897F66"/>
    <w:rsid w:val="208F59F1"/>
    <w:rsid w:val="20C16910"/>
    <w:rsid w:val="20C75B2E"/>
    <w:rsid w:val="20CE08CD"/>
    <w:rsid w:val="20D00417"/>
    <w:rsid w:val="20E03C32"/>
    <w:rsid w:val="20EC6995"/>
    <w:rsid w:val="20EE31C5"/>
    <w:rsid w:val="20EF2963"/>
    <w:rsid w:val="211B2072"/>
    <w:rsid w:val="212900D9"/>
    <w:rsid w:val="2130225D"/>
    <w:rsid w:val="2130749E"/>
    <w:rsid w:val="216055AC"/>
    <w:rsid w:val="216409DD"/>
    <w:rsid w:val="2182307D"/>
    <w:rsid w:val="219C74B1"/>
    <w:rsid w:val="21C94C21"/>
    <w:rsid w:val="220854AF"/>
    <w:rsid w:val="221D435F"/>
    <w:rsid w:val="22204C60"/>
    <w:rsid w:val="2243066A"/>
    <w:rsid w:val="225F7443"/>
    <w:rsid w:val="226C1F1B"/>
    <w:rsid w:val="227704B7"/>
    <w:rsid w:val="22B24E6F"/>
    <w:rsid w:val="22B33D22"/>
    <w:rsid w:val="22B61D3B"/>
    <w:rsid w:val="22C63E8F"/>
    <w:rsid w:val="22C649F9"/>
    <w:rsid w:val="22D65471"/>
    <w:rsid w:val="22E25633"/>
    <w:rsid w:val="22E41B8C"/>
    <w:rsid w:val="22EA0F69"/>
    <w:rsid w:val="23167166"/>
    <w:rsid w:val="23182BE9"/>
    <w:rsid w:val="23193B22"/>
    <w:rsid w:val="233641FF"/>
    <w:rsid w:val="23471968"/>
    <w:rsid w:val="2349097E"/>
    <w:rsid w:val="234F3FE0"/>
    <w:rsid w:val="23632394"/>
    <w:rsid w:val="23715B74"/>
    <w:rsid w:val="23781A74"/>
    <w:rsid w:val="238A1CB3"/>
    <w:rsid w:val="2392443F"/>
    <w:rsid w:val="23A7517C"/>
    <w:rsid w:val="23DE7685"/>
    <w:rsid w:val="23DF11BF"/>
    <w:rsid w:val="23E0198C"/>
    <w:rsid w:val="23E15B62"/>
    <w:rsid w:val="23E73745"/>
    <w:rsid w:val="23FB2999"/>
    <w:rsid w:val="23FF5303"/>
    <w:rsid w:val="24205EB3"/>
    <w:rsid w:val="242C4024"/>
    <w:rsid w:val="24435E91"/>
    <w:rsid w:val="245A4413"/>
    <w:rsid w:val="24600297"/>
    <w:rsid w:val="246A1A82"/>
    <w:rsid w:val="246E675D"/>
    <w:rsid w:val="2472180B"/>
    <w:rsid w:val="248B291A"/>
    <w:rsid w:val="24925A19"/>
    <w:rsid w:val="249D1E1F"/>
    <w:rsid w:val="24AD6EC1"/>
    <w:rsid w:val="24D70139"/>
    <w:rsid w:val="24EC3144"/>
    <w:rsid w:val="24F1226C"/>
    <w:rsid w:val="24F75F11"/>
    <w:rsid w:val="25450116"/>
    <w:rsid w:val="25535267"/>
    <w:rsid w:val="25555921"/>
    <w:rsid w:val="256E5FDE"/>
    <w:rsid w:val="25847930"/>
    <w:rsid w:val="259D3017"/>
    <w:rsid w:val="25A138AF"/>
    <w:rsid w:val="25D90924"/>
    <w:rsid w:val="25E8001F"/>
    <w:rsid w:val="25ED5098"/>
    <w:rsid w:val="25F273E4"/>
    <w:rsid w:val="25FD3A66"/>
    <w:rsid w:val="260B2B95"/>
    <w:rsid w:val="260E4091"/>
    <w:rsid w:val="261B18F2"/>
    <w:rsid w:val="2622642F"/>
    <w:rsid w:val="262C7775"/>
    <w:rsid w:val="26416C79"/>
    <w:rsid w:val="265A47BF"/>
    <w:rsid w:val="265B69AC"/>
    <w:rsid w:val="266114D2"/>
    <w:rsid w:val="266D14C2"/>
    <w:rsid w:val="266D63D8"/>
    <w:rsid w:val="2670658E"/>
    <w:rsid w:val="268140B1"/>
    <w:rsid w:val="268444BC"/>
    <w:rsid w:val="26860188"/>
    <w:rsid w:val="2692695E"/>
    <w:rsid w:val="26982179"/>
    <w:rsid w:val="26AC0283"/>
    <w:rsid w:val="26B22D92"/>
    <w:rsid w:val="26B31399"/>
    <w:rsid w:val="26BB5E68"/>
    <w:rsid w:val="26CA032A"/>
    <w:rsid w:val="26DD7101"/>
    <w:rsid w:val="26F93389"/>
    <w:rsid w:val="27001103"/>
    <w:rsid w:val="27013E4A"/>
    <w:rsid w:val="27083249"/>
    <w:rsid w:val="27092F84"/>
    <w:rsid w:val="27283371"/>
    <w:rsid w:val="272C2AD6"/>
    <w:rsid w:val="272D5DF0"/>
    <w:rsid w:val="273403CD"/>
    <w:rsid w:val="274019DC"/>
    <w:rsid w:val="27403CDC"/>
    <w:rsid w:val="2741032B"/>
    <w:rsid w:val="27430C23"/>
    <w:rsid w:val="27516ADF"/>
    <w:rsid w:val="278C5C4C"/>
    <w:rsid w:val="27985D9D"/>
    <w:rsid w:val="27C63833"/>
    <w:rsid w:val="27D04FA0"/>
    <w:rsid w:val="27E407F7"/>
    <w:rsid w:val="27E823AB"/>
    <w:rsid w:val="27ED70A4"/>
    <w:rsid w:val="28066CEB"/>
    <w:rsid w:val="28097187"/>
    <w:rsid w:val="281126C1"/>
    <w:rsid w:val="281849D6"/>
    <w:rsid w:val="281A4DAF"/>
    <w:rsid w:val="28200904"/>
    <w:rsid w:val="282447BE"/>
    <w:rsid w:val="282F321C"/>
    <w:rsid w:val="28302416"/>
    <w:rsid w:val="286C193D"/>
    <w:rsid w:val="286D5616"/>
    <w:rsid w:val="28782EA1"/>
    <w:rsid w:val="28BA1243"/>
    <w:rsid w:val="28D9317E"/>
    <w:rsid w:val="28F448ED"/>
    <w:rsid w:val="290C3048"/>
    <w:rsid w:val="2915455F"/>
    <w:rsid w:val="291C088F"/>
    <w:rsid w:val="29224AC4"/>
    <w:rsid w:val="29286ACD"/>
    <w:rsid w:val="292C2F64"/>
    <w:rsid w:val="295D64DD"/>
    <w:rsid w:val="29667BAF"/>
    <w:rsid w:val="298060B3"/>
    <w:rsid w:val="2989318D"/>
    <w:rsid w:val="298E16C7"/>
    <w:rsid w:val="29983094"/>
    <w:rsid w:val="29D841C2"/>
    <w:rsid w:val="29DD447C"/>
    <w:rsid w:val="29DF09F1"/>
    <w:rsid w:val="29E57512"/>
    <w:rsid w:val="29F555B6"/>
    <w:rsid w:val="29F77B29"/>
    <w:rsid w:val="29FE2D84"/>
    <w:rsid w:val="2A0C6CDD"/>
    <w:rsid w:val="2A2E5810"/>
    <w:rsid w:val="2A316B22"/>
    <w:rsid w:val="2A3B28BA"/>
    <w:rsid w:val="2A56128E"/>
    <w:rsid w:val="2A6B4DAE"/>
    <w:rsid w:val="2A797EDE"/>
    <w:rsid w:val="2A851A0F"/>
    <w:rsid w:val="2A901517"/>
    <w:rsid w:val="2A91511B"/>
    <w:rsid w:val="2A9563B8"/>
    <w:rsid w:val="2AA336DB"/>
    <w:rsid w:val="2AC33E9F"/>
    <w:rsid w:val="2ACC556F"/>
    <w:rsid w:val="2AD93993"/>
    <w:rsid w:val="2ADB5E64"/>
    <w:rsid w:val="2ADC5A9F"/>
    <w:rsid w:val="2AE616F2"/>
    <w:rsid w:val="2AEA1C8D"/>
    <w:rsid w:val="2AED626D"/>
    <w:rsid w:val="2B094E1D"/>
    <w:rsid w:val="2B096531"/>
    <w:rsid w:val="2B0C04DF"/>
    <w:rsid w:val="2B1F01DC"/>
    <w:rsid w:val="2B2F25DE"/>
    <w:rsid w:val="2B3B0315"/>
    <w:rsid w:val="2B5D0301"/>
    <w:rsid w:val="2B671852"/>
    <w:rsid w:val="2B6C069A"/>
    <w:rsid w:val="2B913E26"/>
    <w:rsid w:val="2B9C0FB8"/>
    <w:rsid w:val="2BA76EA1"/>
    <w:rsid w:val="2BC90A3C"/>
    <w:rsid w:val="2BD75EA2"/>
    <w:rsid w:val="2BD87783"/>
    <w:rsid w:val="2BDE55E0"/>
    <w:rsid w:val="2BFD0495"/>
    <w:rsid w:val="2C0C2746"/>
    <w:rsid w:val="2C145983"/>
    <w:rsid w:val="2C153DDF"/>
    <w:rsid w:val="2C232800"/>
    <w:rsid w:val="2C2B0D2C"/>
    <w:rsid w:val="2C5A7895"/>
    <w:rsid w:val="2C5E13A5"/>
    <w:rsid w:val="2C6475EF"/>
    <w:rsid w:val="2C6E2904"/>
    <w:rsid w:val="2C743F42"/>
    <w:rsid w:val="2CA04397"/>
    <w:rsid w:val="2CC0145B"/>
    <w:rsid w:val="2CCA55C2"/>
    <w:rsid w:val="2CCA7E45"/>
    <w:rsid w:val="2CCC6453"/>
    <w:rsid w:val="2CCE0466"/>
    <w:rsid w:val="2CDB159B"/>
    <w:rsid w:val="2CE56876"/>
    <w:rsid w:val="2CEE685F"/>
    <w:rsid w:val="2CF22406"/>
    <w:rsid w:val="2D151A55"/>
    <w:rsid w:val="2D221928"/>
    <w:rsid w:val="2D227690"/>
    <w:rsid w:val="2D333E2E"/>
    <w:rsid w:val="2D3802CE"/>
    <w:rsid w:val="2D3823D2"/>
    <w:rsid w:val="2D51639E"/>
    <w:rsid w:val="2D8E5C76"/>
    <w:rsid w:val="2DB90B9C"/>
    <w:rsid w:val="2DBE16CA"/>
    <w:rsid w:val="2DD74C26"/>
    <w:rsid w:val="2DE7326C"/>
    <w:rsid w:val="2DEA67CB"/>
    <w:rsid w:val="2DF0202E"/>
    <w:rsid w:val="2E060868"/>
    <w:rsid w:val="2E082936"/>
    <w:rsid w:val="2E29740F"/>
    <w:rsid w:val="2E2A0935"/>
    <w:rsid w:val="2E3673CD"/>
    <w:rsid w:val="2E4A61CC"/>
    <w:rsid w:val="2E4F49C3"/>
    <w:rsid w:val="2E520846"/>
    <w:rsid w:val="2E7B2A47"/>
    <w:rsid w:val="2E8207E1"/>
    <w:rsid w:val="2E825BD4"/>
    <w:rsid w:val="2E870DD8"/>
    <w:rsid w:val="2E9B1EC4"/>
    <w:rsid w:val="2EA45CF4"/>
    <w:rsid w:val="2EC333C2"/>
    <w:rsid w:val="2EC52626"/>
    <w:rsid w:val="2ED43EED"/>
    <w:rsid w:val="2EFC0D2B"/>
    <w:rsid w:val="2F285D70"/>
    <w:rsid w:val="2F2E5B8D"/>
    <w:rsid w:val="2F307B6B"/>
    <w:rsid w:val="2F9C10A8"/>
    <w:rsid w:val="2FA00DAC"/>
    <w:rsid w:val="2FB2703A"/>
    <w:rsid w:val="2FB77691"/>
    <w:rsid w:val="2FD20BD5"/>
    <w:rsid w:val="2FD45E57"/>
    <w:rsid w:val="2FE4147E"/>
    <w:rsid w:val="2FE76C1A"/>
    <w:rsid w:val="2FE94C13"/>
    <w:rsid w:val="2FED6257"/>
    <w:rsid w:val="2FF05628"/>
    <w:rsid w:val="2FF10093"/>
    <w:rsid w:val="30005DAB"/>
    <w:rsid w:val="30035EC7"/>
    <w:rsid w:val="30127780"/>
    <w:rsid w:val="30276561"/>
    <w:rsid w:val="303B576E"/>
    <w:rsid w:val="304979B5"/>
    <w:rsid w:val="3054101B"/>
    <w:rsid w:val="305C41B9"/>
    <w:rsid w:val="30663498"/>
    <w:rsid w:val="30665966"/>
    <w:rsid w:val="30791F23"/>
    <w:rsid w:val="307E2DF2"/>
    <w:rsid w:val="309436EC"/>
    <w:rsid w:val="30B3370E"/>
    <w:rsid w:val="30C05A86"/>
    <w:rsid w:val="31014C3C"/>
    <w:rsid w:val="31263DF0"/>
    <w:rsid w:val="312C67B7"/>
    <w:rsid w:val="316C597F"/>
    <w:rsid w:val="3175134C"/>
    <w:rsid w:val="31763139"/>
    <w:rsid w:val="31791080"/>
    <w:rsid w:val="317B5600"/>
    <w:rsid w:val="317E023F"/>
    <w:rsid w:val="319515DD"/>
    <w:rsid w:val="31994F66"/>
    <w:rsid w:val="31AD7F5B"/>
    <w:rsid w:val="31B12723"/>
    <w:rsid w:val="31B433E4"/>
    <w:rsid w:val="31CD3E70"/>
    <w:rsid w:val="31D34299"/>
    <w:rsid w:val="31D64E7D"/>
    <w:rsid w:val="31F55411"/>
    <w:rsid w:val="31FE54B9"/>
    <w:rsid w:val="32094F60"/>
    <w:rsid w:val="32245420"/>
    <w:rsid w:val="322730F0"/>
    <w:rsid w:val="3239266B"/>
    <w:rsid w:val="32563A53"/>
    <w:rsid w:val="32587027"/>
    <w:rsid w:val="325D3B70"/>
    <w:rsid w:val="32805CEE"/>
    <w:rsid w:val="328F5C6E"/>
    <w:rsid w:val="32A07DA8"/>
    <w:rsid w:val="32A773E2"/>
    <w:rsid w:val="32BF1045"/>
    <w:rsid w:val="32C66EA5"/>
    <w:rsid w:val="32DA4D20"/>
    <w:rsid w:val="32DF3295"/>
    <w:rsid w:val="32ED6C2C"/>
    <w:rsid w:val="32F62BC7"/>
    <w:rsid w:val="33217C2F"/>
    <w:rsid w:val="33265A1A"/>
    <w:rsid w:val="33290815"/>
    <w:rsid w:val="33516F03"/>
    <w:rsid w:val="33721549"/>
    <w:rsid w:val="337D34A9"/>
    <w:rsid w:val="33852273"/>
    <w:rsid w:val="339375F7"/>
    <w:rsid w:val="3395783A"/>
    <w:rsid w:val="339940DE"/>
    <w:rsid w:val="33A122C4"/>
    <w:rsid w:val="33AF3CBE"/>
    <w:rsid w:val="33B90AC9"/>
    <w:rsid w:val="33F77A04"/>
    <w:rsid w:val="3407279C"/>
    <w:rsid w:val="34241C12"/>
    <w:rsid w:val="34380B83"/>
    <w:rsid w:val="345A2E48"/>
    <w:rsid w:val="346D7FE9"/>
    <w:rsid w:val="3475512F"/>
    <w:rsid w:val="34771BF4"/>
    <w:rsid w:val="349D0A1A"/>
    <w:rsid w:val="34A25DC0"/>
    <w:rsid w:val="34AE30A3"/>
    <w:rsid w:val="34B028F5"/>
    <w:rsid w:val="34D85001"/>
    <w:rsid w:val="34E42385"/>
    <w:rsid w:val="34F02329"/>
    <w:rsid w:val="34F35C7B"/>
    <w:rsid w:val="350C6A93"/>
    <w:rsid w:val="350D28CA"/>
    <w:rsid w:val="350E01F8"/>
    <w:rsid w:val="35123F97"/>
    <w:rsid w:val="351D6982"/>
    <w:rsid w:val="35205CF0"/>
    <w:rsid w:val="35341D40"/>
    <w:rsid w:val="354F0EFC"/>
    <w:rsid w:val="354F7349"/>
    <w:rsid w:val="3554595C"/>
    <w:rsid w:val="35691C94"/>
    <w:rsid w:val="35CC091B"/>
    <w:rsid w:val="35F23993"/>
    <w:rsid w:val="35F430F0"/>
    <w:rsid w:val="36032D4D"/>
    <w:rsid w:val="36182875"/>
    <w:rsid w:val="363F1299"/>
    <w:rsid w:val="36452DB5"/>
    <w:rsid w:val="364905F2"/>
    <w:rsid w:val="364921DA"/>
    <w:rsid w:val="366C7294"/>
    <w:rsid w:val="367C70A3"/>
    <w:rsid w:val="36873839"/>
    <w:rsid w:val="368E6914"/>
    <w:rsid w:val="36904338"/>
    <w:rsid w:val="36A81426"/>
    <w:rsid w:val="36AB0B23"/>
    <w:rsid w:val="36AF3927"/>
    <w:rsid w:val="36D066FB"/>
    <w:rsid w:val="36D62D7F"/>
    <w:rsid w:val="36EA595D"/>
    <w:rsid w:val="36F85DA0"/>
    <w:rsid w:val="37074968"/>
    <w:rsid w:val="372A556D"/>
    <w:rsid w:val="374108A8"/>
    <w:rsid w:val="37423EFD"/>
    <w:rsid w:val="374A60CA"/>
    <w:rsid w:val="37761935"/>
    <w:rsid w:val="377E3275"/>
    <w:rsid w:val="37897FA7"/>
    <w:rsid w:val="37A53472"/>
    <w:rsid w:val="37A86201"/>
    <w:rsid w:val="37B4133A"/>
    <w:rsid w:val="37B507B8"/>
    <w:rsid w:val="37C9470A"/>
    <w:rsid w:val="37D67EF3"/>
    <w:rsid w:val="37DE1324"/>
    <w:rsid w:val="38046030"/>
    <w:rsid w:val="380C454C"/>
    <w:rsid w:val="38100301"/>
    <w:rsid w:val="38187515"/>
    <w:rsid w:val="382D0C6A"/>
    <w:rsid w:val="38525D23"/>
    <w:rsid w:val="38545BFB"/>
    <w:rsid w:val="386A3DF4"/>
    <w:rsid w:val="38745298"/>
    <w:rsid w:val="387B4E9F"/>
    <w:rsid w:val="389858A8"/>
    <w:rsid w:val="389A2423"/>
    <w:rsid w:val="38CC3D1B"/>
    <w:rsid w:val="38CE298A"/>
    <w:rsid w:val="38D10597"/>
    <w:rsid w:val="38DD056E"/>
    <w:rsid w:val="38E47A29"/>
    <w:rsid w:val="38E75509"/>
    <w:rsid w:val="38EB2BA1"/>
    <w:rsid w:val="391D4FA5"/>
    <w:rsid w:val="391E0B45"/>
    <w:rsid w:val="39223426"/>
    <w:rsid w:val="392C5820"/>
    <w:rsid w:val="393F4643"/>
    <w:rsid w:val="395869D3"/>
    <w:rsid w:val="395E0D69"/>
    <w:rsid w:val="395F6E1F"/>
    <w:rsid w:val="39601B95"/>
    <w:rsid w:val="397B2B57"/>
    <w:rsid w:val="397E1C4B"/>
    <w:rsid w:val="398B5348"/>
    <w:rsid w:val="399A6208"/>
    <w:rsid w:val="39A7078E"/>
    <w:rsid w:val="39D7462A"/>
    <w:rsid w:val="39D83EED"/>
    <w:rsid w:val="39E92F6C"/>
    <w:rsid w:val="39FC33D4"/>
    <w:rsid w:val="3A0A0AB2"/>
    <w:rsid w:val="3A0A4EA3"/>
    <w:rsid w:val="3A0F2985"/>
    <w:rsid w:val="3A103149"/>
    <w:rsid w:val="3A1B68A8"/>
    <w:rsid w:val="3A1D2A4C"/>
    <w:rsid w:val="3A2D7E9A"/>
    <w:rsid w:val="3A3E1DEE"/>
    <w:rsid w:val="3A552B4B"/>
    <w:rsid w:val="3A5C3769"/>
    <w:rsid w:val="3A6220FE"/>
    <w:rsid w:val="3A7108F3"/>
    <w:rsid w:val="3A9C4E0D"/>
    <w:rsid w:val="3AAC2B0E"/>
    <w:rsid w:val="3AB631FD"/>
    <w:rsid w:val="3ABE4024"/>
    <w:rsid w:val="3AC40CFC"/>
    <w:rsid w:val="3AC81728"/>
    <w:rsid w:val="3AD4541A"/>
    <w:rsid w:val="3AD61697"/>
    <w:rsid w:val="3ADF7673"/>
    <w:rsid w:val="3AE76B28"/>
    <w:rsid w:val="3AEA4691"/>
    <w:rsid w:val="3AEF3FE7"/>
    <w:rsid w:val="3AF04657"/>
    <w:rsid w:val="3AF77F26"/>
    <w:rsid w:val="3B243D40"/>
    <w:rsid w:val="3B391A2C"/>
    <w:rsid w:val="3B3B721C"/>
    <w:rsid w:val="3B415F81"/>
    <w:rsid w:val="3B5D312D"/>
    <w:rsid w:val="3B6A3E60"/>
    <w:rsid w:val="3B6C511E"/>
    <w:rsid w:val="3B72149C"/>
    <w:rsid w:val="3B874AC5"/>
    <w:rsid w:val="3B9216AC"/>
    <w:rsid w:val="3BB55437"/>
    <w:rsid w:val="3BBA6166"/>
    <w:rsid w:val="3BBD7109"/>
    <w:rsid w:val="3BC3506D"/>
    <w:rsid w:val="3BC836DA"/>
    <w:rsid w:val="3BCF651B"/>
    <w:rsid w:val="3BD12CAC"/>
    <w:rsid w:val="3BD75926"/>
    <w:rsid w:val="3BE129B7"/>
    <w:rsid w:val="3BF93690"/>
    <w:rsid w:val="3BFA6804"/>
    <w:rsid w:val="3C294B5B"/>
    <w:rsid w:val="3C7172A4"/>
    <w:rsid w:val="3C8600DB"/>
    <w:rsid w:val="3CB312FD"/>
    <w:rsid w:val="3CCE1889"/>
    <w:rsid w:val="3CDB5761"/>
    <w:rsid w:val="3CE7326C"/>
    <w:rsid w:val="3CFA24AD"/>
    <w:rsid w:val="3D075EF7"/>
    <w:rsid w:val="3D17608E"/>
    <w:rsid w:val="3D1B5145"/>
    <w:rsid w:val="3D1F0DFD"/>
    <w:rsid w:val="3D2B2D5C"/>
    <w:rsid w:val="3D2F795B"/>
    <w:rsid w:val="3D371A7F"/>
    <w:rsid w:val="3D3A3B6B"/>
    <w:rsid w:val="3D3E3FC4"/>
    <w:rsid w:val="3D4564B0"/>
    <w:rsid w:val="3D482480"/>
    <w:rsid w:val="3D58019B"/>
    <w:rsid w:val="3D5D38D3"/>
    <w:rsid w:val="3D5E30BE"/>
    <w:rsid w:val="3D8C5BB4"/>
    <w:rsid w:val="3DDB51E2"/>
    <w:rsid w:val="3E09570F"/>
    <w:rsid w:val="3E0B77C3"/>
    <w:rsid w:val="3E3D6E67"/>
    <w:rsid w:val="3E464336"/>
    <w:rsid w:val="3E4E08A9"/>
    <w:rsid w:val="3E535910"/>
    <w:rsid w:val="3E584E4C"/>
    <w:rsid w:val="3E824706"/>
    <w:rsid w:val="3E8A1DD3"/>
    <w:rsid w:val="3E993504"/>
    <w:rsid w:val="3E9A1A1E"/>
    <w:rsid w:val="3EC10923"/>
    <w:rsid w:val="3EC1128E"/>
    <w:rsid w:val="3EF11186"/>
    <w:rsid w:val="3EF22444"/>
    <w:rsid w:val="3F0E01BC"/>
    <w:rsid w:val="3F3E548A"/>
    <w:rsid w:val="3F41515C"/>
    <w:rsid w:val="3F494814"/>
    <w:rsid w:val="3F557A87"/>
    <w:rsid w:val="3F5F7337"/>
    <w:rsid w:val="3F6328F2"/>
    <w:rsid w:val="3F73682F"/>
    <w:rsid w:val="3F800E33"/>
    <w:rsid w:val="3F9966FE"/>
    <w:rsid w:val="3FB12B0E"/>
    <w:rsid w:val="3FC51AE4"/>
    <w:rsid w:val="3FCA3E9C"/>
    <w:rsid w:val="3FE04778"/>
    <w:rsid w:val="3FEF432D"/>
    <w:rsid w:val="3FF744AB"/>
    <w:rsid w:val="3FF84884"/>
    <w:rsid w:val="40047A7A"/>
    <w:rsid w:val="40265DD1"/>
    <w:rsid w:val="403D71CC"/>
    <w:rsid w:val="40423B98"/>
    <w:rsid w:val="4044530E"/>
    <w:rsid w:val="40560FE0"/>
    <w:rsid w:val="406F67D2"/>
    <w:rsid w:val="408079A6"/>
    <w:rsid w:val="40826979"/>
    <w:rsid w:val="40834AE6"/>
    <w:rsid w:val="40927524"/>
    <w:rsid w:val="40996FAB"/>
    <w:rsid w:val="409C2F2B"/>
    <w:rsid w:val="40A646DD"/>
    <w:rsid w:val="40B012EC"/>
    <w:rsid w:val="40D01BF4"/>
    <w:rsid w:val="40E27284"/>
    <w:rsid w:val="40E4151E"/>
    <w:rsid w:val="40FE3F55"/>
    <w:rsid w:val="41202495"/>
    <w:rsid w:val="41266B3D"/>
    <w:rsid w:val="414C1739"/>
    <w:rsid w:val="41523008"/>
    <w:rsid w:val="415414CF"/>
    <w:rsid w:val="41562963"/>
    <w:rsid w:val="41582E83"/>
    <w:rsid w:val="416D01E5"/>
    <w:rsid w:val="416D0996"/>
    <w:rsid w:val="41875578"/>
    <w:rsid w:val="418E6895"/>
    <w:rsid w:val="419131D9"/>
    <w:rsid w:val="41A11712"/>
    <w:rsid w:val="41B23100"/>
    <w:rsid w:val="41B94A7D"/>
    <w:rsid w:val="41FF4B44"/>
    <w:rsid w:val="421238E0"/>
    <w:rsid w:val="421B3BF0"/>
    <w:rsid w:val="42204EB5"/>
    <w:rsid w:val="4241545C"/>
    <w:rsid w:val="42852EC9"/>
    <w:rsid w:val="42B20436"/>
    <w:rsid w:val="42C5719A"/>
    <w:rsid w:val="42D17879"/>
    <w:rsid w:val="42DF1CC7"/>
    <w:rsid w:val="42EB097A"/>
    <w:rsid w:val="42F42115"/>
    <w:rsid w:val="4303277C"/>
    <w:rsid w:val="430767FB"/>
    <w:rsid w:val="43137BBF"/>
    <w:rsid w:val="43190B21"/>
    <w:rsid w:val="432F364A"/>
    <w:rsid w:val="433B7DD5"/>
    <w:rsid w:val="43636F58"/>
    <w:rsid w:val="4374725E"/>
    <w:rsid w:val="43821610"/>
    <w:rsid w:val="43922C95"/>
    <w:rsid w:val="439B4BBC"/>
    <w:rsid w:val="43C73885"/>
    <w:rsid w:val="43CA0488"/>
    <w:rsid w:val="43DD1B3E"/>
    <w:rsid w:val="43EE6E85"/>
    <w:rsid w:val="4409418D"/>
    <w:rsid w:val="44423B43"/>
    <w:rsid w:val="444C5618"/>
    <w:rsid w:val="44524BA1"/>
    <w:rsid w:val="44735770"/>
    <w:rsid w:val="44864446"/>
    <w:rsid w:val="449C0020"/>
    <w:rsid w:val="44B10046"/>
    <w:rsid w:val="44B47D52"/>
    <w:rsid w:val="44EA0420"/>
    <w:rsid w:val="44ED0AE3"/>
    <w:rsid w:val="44F52919"/>
    <w:rsid w:val="451A128E"/>
    <w:rsid w:val="45252391"/>
    <w:rsid w:val="45414756"/>
    <w:rsid w:val="45445353"/>
    <w:rsid w:val="456216FA"/>
    <w:rsid w:val="45956E34"/>
    <w:rsid w:val="45B15759"/>
    <w:rsid w:val="45B240D5"/>
    <w:rsid w:val="45C07B49"/>
    <w:rsid w:val="45CA0421"/>
    <w:rsid w:val="45D97E06"/>
    <w:rsid w:val="45DA78A2"/>
    <w:rsid w:val="45E1582B"/>
    <w:rsid w:val="46195141"/>
    <w:rsid w:val="461F12CC"/>
    <w:rsid w:val="465579D6"/>
    <w:rsid w:val="46583687"/>
    <w:rsid w:val="467F500B"/>
    <w:rsid w:val="46831F7C"/>
    <w:rsid w:val="4683210F"/>
    <w:rsid w:val="46984001"/>
    <w:rsid w:val="46B075AE"/>
    <w:rsid w:val="46BE2FA1"/>
    <w:rsid w:val="46CE3E28"/>
    <w:rsid w:val="46D70238"/>
    <w:rsid w:val="46F76ED8"/>
    <w:rsid w:val="47030DBD"/>
    <w:rsid w:val="470A2F54"/>
    <w:rsid w:val="472F699E"/>
    <w:rsid w:val="473A7436"/>
    <w:rsid w:val="473E2F97"/>
    <w:rsid w:val="47404DFE"/>
    <w:rsid w:val="47467F37"/>
    <w:rsid w:val="475946D5"/>
    <w:rsid w:val="47611A24"/>
    <w:rsid w:val="47772323"/>
    <w:rsid w:val="477B4800"/>
    <w:rsid w:val="478D075A"/>
    <w:rsid w:val="47961A0A"/>
    <w:rsid w:val="479C094A"/>
    <w:rsid w:val="479F0ED7"/>
    <w:rsid w:val="47A13B18"/>
    <w:rsid w:val="47B32634"/>
    <w:rsid w:val="47B86CB7"/>
    <w:rsid w:val="47C05E39"/>
    <w:rsid w:val="47FA5D88"/>
    <w:rsid w:val="480917D3"/>
    <w:rsid w:val="480B7A1A"/>
    <w:rsid w:val="48132C26"/>
    <w:rsid w:val="481D371D"/>
    <w:rsid w:val="483C138C"/>
    <w:rsid w:val="4853132E"/>
    <w:rsid w:val="48582152"/>
    <w:rsid w:val="48683E58"/>
    <w:rsid w:val="48694544"/>
    <w:rsid w:val="487809EB"/>
    <w:rsid w:val="488009A0"/>
    <w:rsid w:val="48917C2A"/>
    <w:rsid w:val="48AB5E94"/>
    <w:rsid w:val="48B15FA3"/>
    <w:rsid w:val="48F00CE1"/>
    <w:rsid w:val="49076FD1"/>
    <w:rsid w:val="491D6335"/>
    <w:rsid w:val="49201DBE"/>
    <w:rsid w:val="49384F02"/>
    <w:rsid w:val="493F345E"/>
    <w:rsid w:val="49497D8C"/>
    <w:rsid w:val="494B7B04"/>
    <w:rsid w:val="49531122"/>
    <w:rsid w:val="495B3883"/>
    <w:rsid w:val="496209A0"/>
    <w:rsid w:val="49685D9F"/>
    <w:rsid w:val="496A6108"/>
    <w:rsid w:val="49795D1D"/>
    <w:rsid w:val="499415A2"/>
    <w:rsid w:val="49A427FE"/>
    <w:rsid w:val="49A445BC"/>
    <w:rsid w:val="49C44E88"/>
    <w:rsid w:val="49C647D3"/>
    <w:rsid w:val="49C6630A"/>
    <w:rsid w:val="49CA7844"/>
    <w:rsid w:val="49D65137"/>
    <w:rsid w:val="49E65403"/>
    <w:rsid w:val="49FD548D"/>
    <w:rsid w:val="4A017337"/>
    <w:rsid w:val="4A146337"/>
    <w:rsid w:val="4A17530C"/>
    <w:rsid w:val="4A1D5FF2"/>
    <w:rsid w:val="4A3A6AA0"/>
    <w:rsid w:val="4A3C3A8A"/>
    <w:rsid w:val="4A421E6C"/>
    <w:rsid w:val="4A4C7342"/>
    <w:rsid w:val="4A4D5CD9"/>
    <w:rsid w:val="4A4E4ED2"/>
    <w:rsid w:val="4A6115CE"/>
    <w:rsid w:val="4A6A4E09"/>
    <w:rsid w:val="4A7E0C2B"/>
    <w:rsid w:val="4A8014BE"/>
    <w:rsid w:val="4A84434D"/>
    <w:rsid w:val="4A867570"/>
    <w:rsid w:val="4AA35224"/>
    <w:rsid w:val="4AC20A8F"/>
    <w:rsid w:val="4ADD4A1F"/>
    <w:rsid w:val="4ADE56A8"/>
    <w:rsid w:val="4AE33E1A"/>
    <w:rsid w:val="4B054785"/>
    <w:rsid w:val="4B0E1176"/>
    <w:rsid w:val="4B0E5382"/>
    <w:rsid w:val="4B16464F"/>
    <w:rsid w:val="4B190ABC"/>
    <w:rsid w:val="4B19329A"/>
    <w:rsid w:val="4B3A1B72"/>
    <w:rsid w:val="4B483D77"/>
    <w:rsid w:val="4B5F13A6"/>
    <w:rsid w:val="4B6030AA"/>
    <w:rsid w:val="4B6E41E7"/>
    <w:rsid w:val="4B6E4D3A"/>
    <w:rsid w:val="4B6F29E0"/>
    <w:rsid w:val="4B7B57A7"/>
    <w:rsid w:val="4B7F5A57"/>
    <w:rsid w:val="4B8578A3"/>
    <w:rsid w:val="4B8C4C1B"/>
    <w:rsid w:val="4B927E93"/>
    <w:rsid w:val="4BA404CE"/>
    <w:rsid w:val="4BBE23F7"/>
    <w:rsid w:val="4BCF0A53"/>
    <w:rsid w:val="4BD46565"/>
    <w:rsid w:val="4BEE4979"/>
    <w:rsid w:val="4C0031C6"/>
    <w:rsid w:val="4C12416E"/>
    <w:rsid w:val="4C3232B1"/>
    <w:rsid w:val="4C5A1EFF"/>
    <w:rsid w:val="4C6138A4"/>
    <w:rsid w:val="4C62683A"/>
    <w:rsid w:val="4C643854"/>
    <w:rsid w:val="4C7A76A9"/>
    <w:rsid w:val="4C901A5A"/>
    <w:rsid w:val="4C9D4025"/>
    <w:rsid w:val="4C9E2E4F"/>
    <w:rsid w:val="4CA24638"/>
    <w:rsid w:val="4CB74A14"/>
    <w:rsid w:val="4CDB17A6"/>
    <w:rsid w:val="4CDC5FEC"/>
    <w:rsid w:val="4CF03878"/>
    <w:rsid w:val="4CF10AB7"/>
    <w:rsid w:val="4CFA5892"/>
    <w:rsid w:val="4CFA77F6"/>
    <w:rsid w:val="4D073D49"/>
    <w:rsid w:val="4D187C67"/>
    <w:rsid w:val="4D3C7F41"/>
    <w:rsid w:val="4D465F7D"/>
    <w:rsid w:val="4DA544B0"/>
    <w:rsid w:val="4DBC165E"/>
    <w:rsid w:val="4DBE4B51"/>
    <w:rsid w:val="4DC75928"/>
    <w:rsid w:val="4DEF6CC9"/>
    <w:rsid w:val="4E021B77"/>
    <w:rsid w:val="4E1C181D"/>
    <w:rsid w:val="4E2B0086"/>
    <w:rsid w:val="4E3F0F25"/>
    <w:rsid w:val="4E3F4936"/>
    <w:rsid w:val="4E447C6D"/>
    <w:rsid w:val="4E4C3509"/>
    <w:rsid w:val="4E5D6C49"/>
    <w:rsid w:val="4EB30A9C"/>
    <w:rsid w:val="4ECA5373"/>
    <w:rsid w:val="4ECB1840"/>
    <w:rsid w:val="4ED26E0B"/>
    <w:rsid w:val="4EDD03B5"/>
    <w:rsid w:val="4EE4213F"/>
    <w:rsid w:val="4EF96101"/>
    <w:rsid w:val="4F0637B7"/>
    <w:rsid w:val="4F0C7F92"/>
    <w:rsid w:val="4F133DD7"/>
    <w:rsid w:val="4F232054"/>
    <w:rsid w:val="4F386CEF"/>
    <w:rsid w:val="4F3F1B52"/>
    <w:rsid w:val="4F457046"/>
    <w:rsid w:val="4F4812B8"/>
    <w:rsid w:val="4F4A6B4A"/>
    <w:rsid w:val="4F8955DD"/>
    <w:rsid w:val="4F8D4AC0"/>
    <w:rsid w:val="4FA45C8B"/>
    <w:rsid w:val="4FB73E9A"/>
    <w:rsid w:val="4FB873FE"/>
    <w:rsid w:val="4FBE3A5D"/>
    <w:rsid w:val="4FBF72EF"/>
    <w:rsid w:val="4FC41662"/>
    <w:rsid w:val="4FDA7954"/>
    <w:rsid w:val="500770A6"/>
    <w:rsid w:val="50285546"/>
    <w:rsid w:val="503D7F7D"/>
    <w:rsid w:val="504C5400"/>
    <w:rsid w:val="50516B70"/>
    <w:rsid w:val="506B6A25"/>
    <w:rsid w:val="506B6BAD"/>
    <w:rsid w:val="507C2223"/>
    <w:rsid w:val="508B3A16"/>
    <w:rsid w:val="509732D8"/>
    <w:rsid w:val="50A75989"/>
    <w:rsid w:val="50B554C6"/>
    <w:rsid w:val="50B637CE"/>
    <w:rsid w:val="50BD2B54"/>
    <w:rsid w:val="50BF34B7"/>
    <w:rsid w:val="50CC35E4"/>
    <w:rsid w:val="50EC53AF"/>
    <w:rsid w:val="50F5608B"/>
    <w:rsid w:val="50F57447"/>
    <w:rsid w:val="511578C1"/>
    <w:rsid w:val="51245A23"/>
    <w:rsid w:val="51251158"/>
    <w:rsid w:val="513473D1"/>
    <w:rsid w:val="513B4893"/>
    <w:rsid w:val="51461CED"/>
    <w:rsid w:val="514B1535"/>
    <w:rsid w:val="514F095A"/>
    <w:rsid w:val="51833AE6"/>
    <w:rsid w:val="51947A5A"/>
    <w:rsid w:val="51AD3A18"/>
    <w:rsid w:val="51AE49F6"/>
    <w:rsid w:val="51BD29DC"/>
    <w:rsid w:val="51E729D2"/>
    <w:rsid w:val="51E77515"/>
    <w:rsid w:val="51ED3362"/>
    <w:rsid w:val="51EE68C5"/>
    <w:rsid w:val="51F813DC"/>
    <w:rsid w:val="521203BC"/>
    <w:rsid w:val="52427126"/>
    <w:rsid w:val="52440839"/>
    <w:rsid w:val="527223C6"/>
    <w:rsid w:val="52874E9F"/>
    <w:rsid w:val="529409CD"/>
    <w:rsid w:val="529D1AD0"/>
    <w:rsid w:val="52DA0624"/>
    <w:rsid w:val="52F724F0"/>
    <w:rsid w:val="52FE62CE"/>
    <w:rsid w:val="531467AB"/>
    <w:rsid w:val="5315222C"/>
    <w:rsid w:val="53161862"/>
    <w:rsid w:val="531620E8"/>
    <w:rsid w:val="532E29CA"/>
    <w:rsid w:val="534D5D9A"/>
    <w:rsid w:val="535D602D"/>
    <w:rsid w:val="535E66B3"/>
    <w:rsid w:val="5362084E"/>
    <w:rsid w:val="537D7D1F"/>
    <w:rsid w:val="537F5871"/>
    <w:rsid w:val="53A250D1"/>
    <w:rsid w:val="53B4377D"/>
    <w:rsid w:val="53CA52DB"/>
    <w:rsid w:val="53E25D92"/>
    <w:rsid w:val="54002EDD"/>
    <w:rsid w:val="54003D92"/>
    <w:rsid w:val="540824D0"/>
    <w:rsid w:val="541442F7"/>
    <w:rsid w:val="54255C4A"/>
    <w:rsid w:val="542F5E06"/>
    <w:rsid w:val="54300695"/>
    <w:rsid w:val="54356628"/>
    <w:rsid w:val="544B0AFE"/>
    <w:rsid w:val="54654DA6"/>
    <w:rsid w:val="54785A8D"/>
    <w:rsid w:val="547965B1"/>
    <w:rsid w:val="547B3F5B"/>
    <w:rsid w:val="54834635"/>
    <w:rsid w:val="549766A3"/>
    <w:rsid w:val="54A213E5"/>
    <w:rsid w:val="54C41E53"/>
    <w:rsid w:val="54C448BD"/>
    <w:rsid w:val="54C63C64"/>
    <w:rsid w:val="54C955B0"/>
    <w:rsid w:val="54E056B0"/>
    <w:rsid w:val="54E47EAF"/>
    <w:rsid w:val="54E7421B"/>
    <w:rsid w:val="54F42FA9"/>
    <w:rsid w:val="5516754B"/>
    <w:rsid w:val="552B494D"/>
    <w:rsid w:val="55305D6F"/>
    <w:rsid w:val="555B7016"/>
    <w:rsid w:val="556A136D"/>
    <w:rsid w:val="556C52A1"/>
    <w:rsid w:val="556E7FB9"/>
    <w:rsid w:val="558408B0"/>
    <w:rsid w:val="55882D69"/>
    <w:rsid w:val="55923A42"/>
    <w:rsid w:val="559E1715"/>
    <w:rsid w:val="55A46AA1"/>
    <w:rsid w:val="55C632A4"/>
    <w:rsid w:val="55D429D6"/>
    <w:rsid w:val="55D82164"/>
    <w:rsid w:val="55E759D7"/>
    <w:rsid w:val="55F51FD8"/>
    <w:rsid w:val="56094D75"/>
    <w:rsid w:val="560E3440"/>
    <w:rsid w:val="561F0A5C"/>
    <w:rsid w:val="563D5CD1"/>
    <w:rsid w:val="56472F02"/>
    <w:rsid w:val="565E5C38"/>
    <w:rsid w:val="567461E9"/>
    <w:rsid w:val="567E247E"/>
    <w:rsid w:val="56982244"/>
    <w:rsid w:val="56A4299D"/>
    <w:rsid w:val="56C31476"/>
    <w:rsid w:val="56E43E1E"/>
    <w:rsid w:val="56F33231"/>
    <w:rsid w:val="56FB3CAF"/>
    <w:rsid w:val="57023E58"/>
    <w:rsid w:val="572B4C0D"/>
    <w:rsid w:val="576806F1"/>
    <w:rsid w:val="577D23B8"/>
    <w:rsid w:val="57896837"/>
    <w:rsid w:val="57BA5C68"/>
    <w:rsid w:val="57C138A5"/>
    <w:rsid w:val="58026448"/>
    <w:rsid w:val="58134E48"/>
    <w:rsid w:val="58147563"/>
    <w:rsid w:val="58285703"/>
    <w:rsid w:val="583542DE"/>
    <w:rsid w:val="585D4786"/>
    <w:rsid w:val="585D50DB"/>
    <w:rsid w:val="586E6522"/>
    <w:rsid w:val="587035C8"/>
    <w:rsid w:val="5877070F"/>
    <w:rsid w:val="587A5EFA"/>
    <w:rsid w:val="588D6C20"/>
    <w:rsid w:val="5890598A"/>
    <w:rsid w:val="58B50028"/>
    <w:rsid w:val="58B53E0F"/>
    <w:rsid w:val="58CF4A01"/>
    <w:rsid w:val="58D61739"/>
    <w:rsid w:val="58EF4E51"/>
    <w:rsid w:val="58F85566"/>
    <w:rsid w:val="58F95C43"/>
    <w:rsid w:val="58FA6D82"/>
    <w:rsid w:val="590448EA"/>
    <w:rsid w:val="590627AF"/>
    <w:rsid w:val="590D7D77"/>
    <w:rsid w:val="593C5369"/>
    <w:rsid w:val="594166C2"/>
    <w:rsid w:val="59425F52"/>
    <w:rsid w:val="594C2B76"/>
    <w:rsid w:val="594F695C"/>
    <w:rsid w:val="595D68B2"/>
    <w:rsid w:val="59620B8C"/>
    <w:rsid w:val="59722178"/>
    <w:rsid w:val="599B3783"/>
    <w:rsid w:val="59AD27DA"/>
    <w:rsid w:val="59C23511"/>
    <w:rsid w:val="59C35039"/>
    <w:rsid w:val="59C759CC"/>
    <w:rsid w:val="59CA494C"/>
    <w:rsid w:val="59CA7936"/>
    <w:rsid w:val="59CE712D"/>
    <w:rsid w:val="59EA51B0"/>
    <w:rsid w:val="59F1472A"/>
    <w:rsid w:val="59F61B56"/>
    <w:rsid w:val="5A057E5E"/>
    <w:rsid w:val="5A313A12"/>
    <w:rsid w:val="5A402628"/>
    <w:rsid w:val="5A461869"/>
    <w:rsid w:val="5A4816CF"/>
    <w:rsid w:val="5A6246C1"/>
    <w:rsid w:val="5A6933F1"/>
    <w:rsid w:val="5A727779"/>
    <w:rsid w:val="5A75210F"/>
    <w:rsid w:val="5A7934EB"/>
    <w:rsid w:val="5A8D0851"/>
    <w:rsid w:val="5AA43E77"/>
    <w:rsid w:val="5AB7269D"/>
    <w:rsid w:val="5AC75056"/>
    <w:rsid w:val="5AD74CE7"/>
    <w:rsid w:val="5ADB29A4"/>
    <w:rsid w:val="5AFC084B"/>
    <w:rsid w:val="5B194593"/>
    <w:rsid w:val="5B1A2005"/>
    <w:rsid w:val="5B1E4D62"/>
    <w:rsid w:val="5B3D0D88"/>
    <w:rsid w:val="5B470B8B"/>
    <w:rsid w:val="5B4B1FFF"/>
    <w:rsid w:val="5B4C7E50"/>
    <w:rsid w:val="5B5F3992"/>
    <w:rsid w:val="5B781B81"/>
    <w:rsid w:val="5B8B20D6"/>
    <w:rsid w:val="5B8B308A"/>
    <w:rsid w:val="5B8F46EA"/>
    <w:rsid w:val="5B975C59"/>
    <w:rsid w:val="5B9904AC"/>
    <w:rsid w:val="5BA867C8"/>
    <w:rsid w:val="5BA9645B"/>
    <w:rsid w:val="5BAE1A10"/>
    <w:rsid w:val="5BC37E54"/>
    <w:rsid w:val="5BC87B61"/>
    <w:rsid w:val="5BDD4E77"/>
    <w:rsid w:val="5C042CA7"/>
    <w:rsid w:val="5C1F44DE"/>
    <w:rsid w:val="5C2428EB"/>
    <w:rsid w:val="5C2D7281"/>
    <w:rsid w:val="5C3A3CE7"/>
    <w:rsid w:val="5C402AFF"/>
    <w:rsid w:val="5C4F570B"/>
    <w:rsid w:val="5C7449D1"/>
    <w:rsid w:val="5C7C1937"/>
    <w:rsid w:val="5CB77F40"/>
    <w:rsid w:val="5CBE6DFE"/>
    <w:rsid w:val="5CC02B95"/>
    <w:rsid w:val="5CCB5E97"/>
    <w:rsid w:val="5CCC2D45"/>
    <w:rsid w:val="5D0036C6"/>
    <w:rsid w:val="5D046E8D"/>
    <w:rsid w:val="5D3A1D97"/>
    <w:rsid w:val="5D9A078E"/>
    <w:rsid w:val="5DB0590E"/>
    <w:rsid w:val="5DD759F2"/>
    <w:rsid w:val="5DE34D29"/>
    <w:rsid w:val="5DF26F99"/>
    <w:rsid w:val="5E1214DD"/>
    <w:rsid w:val="5E1642EB"/>
    <w:rsid w:val="5E4A627F"/>
    <w:rsid w:val="5E573D26"/>
    <w:rsid w:val="5E726198"/>
    <w:rsid w:val="5E78105F"/>
    <w:rsid w:val="5E7D4433"/>
    <w:rsid w:val="5E825905"/>
    <w:rsid w:val="5E9F124F"/>
    <w:rsid w:val="5EB41C12"/>
    <w:rsid w:val="5EC06565"/>
    <w:rsid w:val="5EC95EEE"/>
    <w:rsid w:val="5EC9702A"/>
    <w:rsid w:val="5ED213E9"/>
    <w:rsid w:val="5ED24EE3"/>
    <w:rsid w:val="5EE61707"/>
    <w:rsid w:val="5EF56580"/>
    <w:rsid w:val="5EF57C38"/>
    <w:rsid w:val="5EF70BD7"/>
    <w:rsid w:val="5F064B09"/>
    <w:rsid w:val="5F0B41D3"/>
    <w:rsid w:val="5F0D14B3"/>
    <w:rsid w:val="5F1A644F"/>
    <w:rsid w:val="5F29122A"/>
    <w:rsid w:val="5F2E1677"/>
    <w:rsid w:val="5F2F27BB"/>
    <w:rsid w:val="5F3D062E"/>
    <w:rsid w:val="5F466FC1"/>
    <w:rsid w:val="5F6749BC"/>
    <w:rsid w:val="5F747CF4"/>
    <w:rsid w:val="5F850230"/>
    <w:rsid w:val="5F8C36A1"/>
    <w:rsid w:val="5FA57CFA"/>
    <w:rsid w:val="5FB059B9"/>
    <w:rsid w:val="5FB13AE8"/>
    <w:rsid w:val="5FB628A4"/>
    <w:rsid w:val="5FCF1595"/>
    <w:rsid w:val="5FDD6A4A"/>
    <w:rsid w:val="5FE82C7C"/>
    <w:rsid w:val="5FF13CC5"/>
    <w:rsid w:val="60173E36"/>
    <w:rsid w:val="60184D33"/>
    <w:rsid w:val="602365EB"/>
    <w:rsid w:val="603F1AF0"/>
    <w:rsid w:val="60814F6D"/>
    <w:rsid w:val="60861939"/>
    <w:rsid w:val="60925C7A"/>
    <w:rsid w:val="60952884"/>
    <w:rsid w:val="609C7B1E"/>
    <w:rsid w:val="60A36B80"/>
    <w:rsid w:val="60AE07E7"/>
    <w:rsid w:val="60BF233C"/>
    <w:rsid w:val="60CB76EF"/>
    <w:rsid w:val="60DB7BC5"/>
    <w:rsid w:val="60DF7C41"/>
    <w:rsid w:val="60E3258B"/>
    <w:rsid w:val="60F41205"/>
    <w:rsid w:val="60F97E40"/>
    <w:rsid w:val="61497944"/>
    <w:rsid w:val="61842FAC"/>
    <w:rsid w:val="61893F5D"/>
    <w:rsid w:val="619B765E"/>
    <w:rsid w:val="61B035BE"/>
    <w:rsid w:val="61B60B1E"/>
    <w:rsid w:val="61C85EBC"/>
    <w:rsid w:val="61D5011B"/>
    <w:rsid w:val="61E230BA"/>
    <w:rsid w:val="61E735CE"/>
    <w:rsid w:val="62007A41"/>
    <w:rsid w:val="620B01CC"/>
    <w:rsid w:val="622B7109"/>
    <w:rsid w:val="62324F70"/>
    <w:rsid w:val="624300BF"/>
    <w:rsid w:val="62583A17"/>
    <w:rsid w:val="625E7674"/>
    <w:rsid w:val="62684713"/>
    <w:rsid w:val="62C63F51"/>
    <w:rsid w:val="62E72853"/>
    <w:rsid w:val="62FC6164"/>
    <w:rsid w:val="630F627A"/>
    <w:rsid w:val="63103BA8"/>
    <w:rsid w:val="633536F0"/>
    <w:rsid w:val="633F04F0"/>
    <w:rsid w:val="63513743"/>
    <w:rsid w:val="63541E18"/>
    <w:rsid w:val="6384280D"/>
    <w:rsid w:val="638476D7"/>
    <w:rsid w:val="63934194"/>
    <w:rsid w:val="6393712C"/>
    <w:rsid w:val="639C1E84"/>
    <w:rsid w:val="63B654B4"/>
    <w:rsid w:val="63B8362D"/>
    <w:rsid w:val="63BE1132"/>
    <w:rsid w:val="63C31C47"/>
    <w:rsid w:val="63D37A3E"/>
    <w:rsid w:val="640E6F2F"/>
    <w:rsid w:val="640F28DD"/>
    <w:rsid w:val="6426000B"/>
    <w:rsid w:val="643014D1"/>
    <w:rsid w:val="64661AD5"/>
    <w:rsid w:val="64881FF7"/>
    <w:rsid w:val="64B172AB"/>
    <w:rsid w:val="64C73936"/>
    <w:rsid w:val="64D81081"/>
    <w:rsid w:val="64E4313E"/>
    <w:rsid w:val="64E447A2"/>
    <w:rsid w:val="6510242A"/>
    <w:rsid w:val="65157658"/>
    <w:rsid w:val="651B5DE5"/>
    <w:rsid w:val="65227CEB"/>
    <w:rsid w:val="652A7636"/>
    <w:rsid w:val="65332B03"/>
    <w:rsid w:val="653C4755"/>
    <w:rsid w:val="654D3F05"/>
    <w:rsid w:val="6558569B"/>
    <w:rsid w:val="655A3400"/>
    <w:rsid w:val="65C11895"/>
    <w:rsid w:val="65C6050A"/>
    <w:rsid w:val="65CC089A"/>
    <w:rsid w:val="65E2161A"/>
    <w:rsid w:val="65F727A5"/>
    <w:rsid w:val="66017348"/>
    <w:rsid w:val="66095485"/>
    <w:rsid w:val="66200E61"/>
    <w:rsid w:val="66252916"/>
    <w:rsid w:val="66291C23"/>
    <w:rsid w:val="663B5884"/>
    <w:rsid w:val="66466B24"/>
    <w:rsid w:val="667241B3"/>
    <w:rsid w:val="667F2D50"/>
    <w:rsid w:val="66A10FE4"/>
    <w:rsid w:val="66A532E6"/>
    <w:rsid w:val="66C93C1A"/>
    <w:rsid w:val="66CA068C"/>
    <w:rsid w:val="66E0052D"/>
    <w:rsid w:val="66F51BEF"/>
    <w:rsid w:val="67004B0F"/>
    <w:rsid w:val="67080B82"/>
    <w:rsid w:val="67230AE3"/>
    <w:rsid w:val="67332747"/>
    <w:rsid w:val="6738795C"/>
    <w:rsid w:val="673947F1"/>
    <w:rsid w:val="67443B41"/>
    <w:rsid w:val="674D13C1"/>
    <w:rsid w:val="676328D4"/>
    <w:rsid w:val="67700C05"/>
    <w:rsid w:val="67705924"/>
    <w:rsid w:val="67785FAE"/>
    <w:rsid w:val="677F01DB"/>
    <w:rsid w:val="67900764"/>
    <w:rsid w:val="679C0826"/>
    <w:rsid w:val="679D507E"/>
    <w:rsid w:val="67A942C3"/>
    <w:rsid w:val="67D405F0"/>
    <w:rsid w:val="67DE3424"/>
    <w:rsid w:val="67E003DB"/>
    <w:rsid w:val="67F92132"/>
    <w:rsid w:val="68122CE9"/>
    <w:rsid w:val="6819730C"/>
    <w:rsid w:val="681F08AD"/>
    <w:rsid w:val="683A02A8"/>
    <w:rsid w:val="683C37DC"/>
    <w:rsid w:val="6848208F"/>
    <w:rsid w:val="684C5BE0"/>
    <w:rsid w:val="686736E3"/>
    <w:rsid w:val="686B4E3F"/>
    <w:rsid w:val="68742A32"/>
    <w:rsid w:val="687A7357"/>
    <w:rsid w:val="68893CA1"/>
    <w:rsid w:val="68B56A80"/>
    <w:rsid w:val="68CA0A11"/>
    <w:rsid w:val="68DC12DF"/>
    <w:rsid w:val="68DD037A"/>
    <w:rsid w:val="68F87EE6"/>
    <w:rsid w:val="6905747F"/>
    <w:rsid w:val="690A14F1"/>
    <w:rsid w:val="690A65E9"/>
    <w:rsid w:val="690D5E70"/>
    <w:rsid w:val="691D4811"/>
    <w:rsid w:val="69592FA6"/>
    <w:rsid w:val="696B0704"/>
    <w:rsid w:val="696F6A03"/>
    <w:rsid w:val="697054CC"/>
    <w:rsid w:val="69970ABA"/>
    <w:rsid w:val="699A5532"/>
    <w:rsid w:val="69A1375B"/>
    <w:rsid w:val="69B73607"/>
    <w:rsid w:val="69CE6A30"/>
    <w:rsid w:val="69D320F6"/>
    <w:rsid w:val="69DB3BF9"/>
    <w:rsid w:val="69DE6450"/>
    <w:rsid w:val="69E169F9"/>
    <w:rsid w:val="69E9790F"/>
    <w:rsid w:val="69F17737"/>
    <w:rsid w:val="69F46662"/>
    <w:rsid w:val="69F5398D"/>
    <w:rsid w:val="6A0A38C8"/>
    <w:rsid w:val="6A0A5054"/>
    <w:rsid w:val="6A1427BD"/>
    <w:rsid w:val="6A267F90"/>
    <w:rsid w:val="6A2B009D"/>
    <w:rsid w:val="6A3D6514"/>
    <w:rsid w:val="6A4B3AB8"/>
    <w:rsid w:val="6A8172AC"/>
    <w:rsid w:val="6A89696C"/>
    <w:rsid w:val="6A9B71E9"/>
    <w:rsid w:val="6A9E6CCE"/>
    <w:rsid w:val="6AA81917"/>
    <w:rsid w:val="6AAD6ACF"/>
    <w:rsid w:val="6ACB1488"/>
    <w:rsid w:val="6AD12926"/>
    <w:rsid w:val="6AE55402"/>
    <w:rsid w:val="6AF21920"/>
    <w:rsid w:val="6AF93068"/>
    <w:rsid w:val="6B23053E"/>
    <w:rsid w:val="6B3C50CF"/>
    <w:rsid w:val="6B476E8A"/>
    <w:rsid w:val="6B4B3956"/>
    <w:rsid w:val="6B4C20A5"/>
    <w:rsid w:val="6B5B0F44"/>
    <w:rsid w:val="6B650546"/>
    <w:rsid w:val="6B78713F"/>
    <w:rsid w:val="6B8F385A"/>
    <w:rsid w:val="6BBC1A50"/>
    <w:rsid w:val="6BC43440"/>
    <w:rsid w:val="6BCD1D38"/>
    <w:rsid w:val="6BD14E05"/>
    <w:rsid w:val="6BD91EA8"/>
    <w:rsid w:val="6BE324AE"/>
    <w:rsid w:val="6BE7753D"/>
    <w:rsid w:val="6BEC681A"/>
    <w:rsid w:val="6BFE5570"/>
    <w:rsid w:val="6C2244B7"/>
    <w:rsid w:val="6C2621BB"/>
    <w:rsid w:val="6C2B7B1C"/>
    <w:rsid w:val="6C2E19E6"/>
    <w:rsid w:val="6C2E7F4D"/>
    <w:rsid w:val="6C3035B6"/>
    <w:rsid w:val="6C3D0725"/>
    <w:rsid w:val="6C542650"/>
    <w:rsid w:val="6C5A0146"/>
    <w:rsid w:val="6C5C3E4D"/>
    <w:rsid w:val="6C7E764E"/>
    <w:rsid w:val="6C8525A7"/>
    <w:rsid w:val="6C8C1B33"/>
    <w:rsid w:val="6C8D2D21"/>
    <w:rsid w:val="6C8F5B33"/>
    <w:rsid w:val="6C950577"/>
    <w:rsid w:val="6C9737E2"/>
    <w:rsid w:val="6CB87E61"/>
    <w:rsid w:val="6CD75EBB"/>
    <w:rsid w:val="6CF26AED"/>
    <w:rsid w:val="6D050DAB"/>
    <w:rsid w:val="6D105A38"/>
    <w:rsid w:val="6D2B1E6A"/>
    <w:rsid w:val="6D34463B"/>
    <w:rsid w:val="6D3A2535"/>
    <w:rsid w:val="6D3B5B2A"/>
    <w:rsid w:val="6D4D10AC"/>
    <w:rsid w:val="6D515133"/>
    <w:rsid w:val="6D5F65D4"/>
    <w:rsid w:val="6D6655C2"/>
    <w:rsid w:val="6D7528C2"/>
    <w:rsid w:val="6D7F2551"/>
    <w:rsid w:val="6D7F7C5F"/>
    <w:rsid w:val="6D88617A"/>
    <w:rsid w:val="6DC87CDF"/>
    <w:rsid w:val="6DD56AC5"/>
    <w:rsid w:val="6DDB6A68"/>
    <w:rsid w:val="6E143421"/>
    <w:rsid w:val="6E29405D"/>
    <w:rsid w:val="6E45207D"/>
    <w:rsid w:val="6E525B76"/>
    <w:rsid w:val="6E5A20A8"/>
    <w:rsid w:val="6E5B1D51"/>
    <w:rsid w:val="6E5C0548"/>
    <w:rsid w:val="6E757869"/>
    <w:rsid w:val="6E8E6481"/>
    <w:rsid w:val="6EAD1C2E"/>
    <w:rsid w:val="6EAD5165"/>
    <w:rsid w:val="6EB0661F"/>
    <w:rsid w:val="6EB5581F"/>
    <w:rsid w:val="6EBF00F8"/>
    <w:rsid w:val="6EC77FED"/>
    <w:rsid w:val="6ECC2278"/>
    <w:rsid w:val="6ECD2CC0"/>
    <w:rsid w:val="6EDD4827"/>
    <w:rsid w:val="6EE50D44"/>
    <w:rsid w:val="6EE736C4"/>
    <w:rsid w:val="6EF6285A"/>
    <w:rsid w:val="6EFB1DF5"/>
    <w:rsid w:val="6F031A30"/>
    <w:rsid w:val="6F1F7026"/>
    <w:rsid w:val="6F2F71CE"/>
    <w:rsid w:val="6F520D93"/>
    <w:rsid w:val="6F680AEE"/>
    <w:rsid w:val="6F6A2C81"/>
    <w:rsid w:val="6F7758D6"/>
    <w:rsid w:val="6F7A62B4"/>
    <w:rsid w:val="6F7E74AC"/>
    <w:rsid w:val="6F816334"/>
    <w:rsid w:val="6F916AE5"/>
    <w:rsid w:val="6F9B6D97"/>
    <w:rsid w:val="6FA13DC4"/>
    <w:rsid w:val="6FAE317C"/>
    <w:rsid w:val="6FB91A6A"/>
    <w:rsid w:val="6FC43F9F"/>
    <w:rsid w:val="6FC50349"/>
    <w:rsid w:val="6FD10A37"/>
    <w:rsid w:val="701A26ED"/>
    <w:rsid w:val="70275753"/>
    <w:rsid w:val="70422984"/>
    <w:rsid w:val="70465AB3"/>
    <w:rsid w:val="7061672B"/>
    <w:rsid w:val="706A6B3D"/>
    <w:rsid w:val="707248CE"/>
    <w:rsid w:val="70736DBA"/>
    <w:rsid w:val="707B2AFD"/>
    <w:rsid w:val="7080723A"/>
    <w:rsid w:val="70AA494E"/>
    <w:rsid w:val="70D65C19"/>
    <w:rsid w:val="70DD0CD8"/>
    <w:rsid w:val="70E202C3"/>
    <w:rsid w:val="70E713D8"/>
    <w:rsid w:val="70EE5451"/>
    <w:rsid w:val="70F46397"/>
    <w:rsid w:val="70F9776D"/>
    <w:rsid w:val="7103654E"/>
    <w:rsid w:val="7119757F"/>
    <w:rsid w:val="71455DB8"/>
    <w:rsid w:val="715515AA"/>
    <w:rsid w:val="71566097"/>
    <w:rsid w:val="71641E4F"/>
    <w:rsid w:val="716A68FF"/>
    <w:rsid w:val="71711612"/>
    <w:rsid w:val="71735027"/>
    <w:rsid w:val="71A27096"/>
    <w:rsid w:val="71AD04FE"/>
    <w:rsid w:val="71B004D4"/>
    <w:rsid w:val="71B65840"/>
    <w:rsid w:val="71BF1E0A"/>
    <w:rsid w:val="71C1393C"/>
    <w:rsid w:val="71F15F9C"/>
    <w:rsid w:val="71F34A25"/>
    <w:rsid w:val="71FF65B4"/>
    <w:rsid w:val="72153DED"/>
    <w:rsid w:val="72175A76"/>
    <w:rsid w:val="721E7F8E"/>
    <w:rsid w:val="722024BF"/>
    <w:rsid w:val="722801D6"/>
    <w:rsid w:val="72296131"/>
    <w:rsid w:val="72484330"/>
    <w:rsid w:val="72542B9B"/>
    <w:rsid w:val="726A40D7"/>
    <w:rsid w:val="727323B2"/>
    <w:rsid w:val="72872262"/>
    <w:rsid w:val="728A7B43"/>
    <w:rsid w:val="729B16BB"/>
    <w:rsid w:val="72B45C7A"/>
    <w:rsid w:val="72CC79EC"/>
    <w:rsid w:val="72D76D72"/>
    <w:rsid w:val="72E502C1"/>
    <w:rsid w:val="72EC05BF"/>
    <w:rsid w:val="73136F19"/>
    <w:rsid w:val="73235748"/>
    <w:rsid w:val="732C797D"/>
    <w:rsid w:val="73346FCE"/>
    <w:rsid w:val="733D2193"/>
    <w:rsid w:val="735C74FF"/>
    <w:rsid w:val="73673409"/>
    <w:rsid w:val="737424B4"/>
    <w:rsid w:val="73903049"/>
    <w:rsid w:val="73A06ABA"/>
    <w:rsid w:val="73BE2CAE"/>
    <w:rsid w:val="73C15949"/>
    <w:rsid w:val="73C401C6"/>
    <w:rsid w:val="73C52E25"/>
    <w:rsid w:val="73E22E1D"/>
    <w:rsid w:val="73EB42CB"/>
    <w:rsid w:val="73FF0996"/>
    <w:rsid w:val="7415330E"/>
    <w:rsid w:val="741F1E4A"/>
    <w:rsid w:val="744D3C95"/>
    <w:rsid w:val="7454246C"/>
    <w:rsid w:val="74547A3D"/>
    <w:rsid w:val="745B2E0C"/>
    <w:rsid w:val="746937DE"/>
    <w:rsid w:val="74803A51"/>
    <w:rsid w:val="74974E61"/>
    <w:rsid w:val="749930C8"/>
    <w:rsid w:val="74A90A92"/>
    <w:rsid w:val="74C749B3"/>
    <w:rsid w:val="7501158C"/>
    <w:rsid w:val="752A6218"/>
    <w:rsid w:val="752E2342"/>
    <w:rsid w:val="753D6913"/>
    <w:rsid w:val="754A14B0"/>
    <w:rsid w:val="75641576"/>
    <w:rsid w:val="7567620C"/>
    <w:rsid w:val="7571467F"/>
    <w:rsid w:val="75881923"/>
    <w:rsid w:val="75894CDD"/>
    <w:rsid w:val="758B5CA0"/>
    <w:rsid w:val="75995F3F"/>
    <w:rsid w:val="75A77EEC"/>
    <w:rsid w:val="75BD7373"/>
    <w:rsid w:val="75DC71DB"/>
    <w:rsid w:val="75E51F06"/>
    <w:rsid w:val="75EE6E07"/>
    <w:rsid w:val="76101C33"/>
    <w:rsid w:val="76112F19"/>
    <w:rsid w:val="7617515F"/>
    <w:rsid w:val="761E6F1E"/>
    <w:rsid w:val="761E733A"/>
    <w:rsid w:val="763C45D3"/>
    <w:rsid w:val="76641E60"/>
    <w:rsid w:val="767C6B5B"/>
    <w:rsid w:val="7684653F"/>
    <w:rsid w:val="76A341AC"/>
    <w:rsid w:val="76B37E22"/>
    <w:rsid w:val="76B5252D"/>
    <w:rsid w:val="76B81E24"/>
    <w:rsid w:val="76BE258D"/>
    <w:rsid w:val="76C025AF"/>
    <w:rsid w:val="76CD0E66"/>
    <w:rsid w:val="76D46D17"/>
    <w:rsid w:val="77062BC5"/>
    <w:rsid w:val="770E1F7D"/>
    <w:rsid w:val="77124A2F"/>
    <w:rsid w:val="7717333E"/>
    <w:rsid w:val="774725C2"/>
    <w:rsid w:val="77641DDF"/>
    <w:rsid w:val="777422B6"/>
    <w:rsid w:val="77A145FD"/>
    <w:rsid w:val="77AB50B8"/>
    <w:rsid w:val="77AD40FC"/>
    <w:rsid w:val="77B910DD"/>
    <w:rsid w:val="77C468C6"/>
    <w:rsid w:val="77D25D2E"/>
    <w:rsid w:val="77D355BE"/>
    <w:rsid w:val="77E02E62"/>
    <w:rsid w:val="77E97592"/>
    <w:rsid w:val="77EF5355"/>
    <w:rsid w:val="7823148A"/>
    <w:rsid w:val="7823748D"/>
    <w:rsid w:val="784E3922"/>
    <w:rsid w:val="785817BF"/>
    <w:rsid w:val="78582986"/>
    <w:rsid w:val="785914F9"/>
    <w:rsid w:val="786B4290"/>
    <w:rsid w:val="786E01A9"/>
    <w:rsid w:val="787E72F5"/>
    <w:rsid w:val="78880F2C"/>
    <w:rsid w:val="788E0C55"/>
    <w:rsid w:val="78B23966"/>
    <w:rsid w:val="78BD748F"/>
    <w:rsid w:val="78CA1274"/>
    <w:rsid w:val="78CE662F"/>
    <w:rsid w:val="78D67AA0"/>
    <w:rsid w:val="78E66EC1"/>
    <w:rsid w:val="78E678F6"/>
    <w:rsid w:val="78E90EA5"/>
    <w:rsid w:val="78FB0901"/>
    <w:rsid w:val="78FC3820"/>
    <w:rsid w:val="7908452D"/>
    <w:rsid w:val="79502C1E"/>
    <w:rsid w:val="795A0B2D"/>
    <w:rsid w:val="795B7932"/>
    <w:rsid w:val="796679B0"/>
    <w:rsid w:val="797352EE"/>
    <w:rsid w:val="797751EC"/>
    <w:rsid w:val="797A77F6"/>
    <w:rsid w:val="79803926"/>
    <w:rsid w:val="79811A31"/>
    <w:rsid w:val="79914F2A"/>
    <w:rsid w:val="79A006BD"/>
    <w:rsid w:val="79A21695"/>
    <w:rsid w:val="79A42BC8"/>
    <w:rsid w:val="79C40AF0"/>
    <w:rsid w:val="79C56DF0"/>
    <w:rsid w:val="79ED12DB"/>
    <w:rsid w:val="79EE5988"/>
    <w:rsid w:val="79F33C18"/>
    <w:rsid w:val="7A107AB3"/>
    <w:rsid w:val="7A124E85"/>
    <w:rsid w:val="7A1B1179"/>
    <w:rsid w:val="7A212F25"/>
    <w:rsid w:val="7A2A5AF6"/>
    <w:rsid w:val="7A2D148B"/>
    <w:rsid w:val="7A570D64"/>
    <w:rsid w:val="7A757597"/>
    <w:rsid w:val="7A8D1516"/>
    <w:rsid w:val="7A905A04"/>
    <w:rsid w:val="7A951D0E"/>
    <w:rsid w:val="7AAB3627"/>
    <w:rsid w:val="7AB06D0D"/>
    <w:rsid w:val="7AB30153"/>
    <w:rsid w:val="7AB673DB"/>
    <w:rsid w:val="7AC0329D"/>
    <w:rsid w:val="7AF817E1"/>
    <w:rsid w:val="7B0D6A9D"/>
    <w:rsid w:val="7B26154E"/>
    <w:rsid w:val="7B2E4605"/>
    <w:rsid w:val="7B3F6EAA"/>
    <w:rsid w:val="7B4658ED"/>
    <w:rsid w:val="7B564012"/>
    <w:rsid w:val="7B626266"/>
    <w:rsid w:val="7B642A52"/>
    <w:rsid w:val="7B690F0D"/>
    <w:rsid w:val="7B6E02A4"/>
    <w:rsid w:val="7B96072A"/>
    <w:rsid w:val="7BB337E8"/>
    <w:rsid w:val="7BC22D1A"/>
    <w:rsid w:val="7BC63DFB"/>
    <w:rsid w:val="7BCB191F"/>
    <w:rsid w:val="7BE317A4"/>
    <w:rsid w:val="7C105A8C"/>
    <w:rsid w:val="7C195C45"/>
    <w:rsid w:val="7C2B7BFB"/>
    <w:rsid w:val="7C36208B"/>
    <w:rsid w:val="7C380C77"/>
    <w:rsid w:val="7C5F37A5"/>
    <w:rsid w:val="7C6A0F3E"/>
    <w:rsid w:val="7C7A1E81"/>
    <w:rsid w:val="7C814A89"/>
    <w:rsid w:val="7C9F2C50"/>
    <w:rsid w:val="7CB9301C"/>
    <w:rsid w:val="7CD143E7"/>
    <w:rsid w:val="7CD40BDF"/>
    <w:rsid w:val="7CD65BF5"/>
    <w:rsid w:val="7CE9430C"/>
    <w:rsid w:val="7CE94666"/>
    <w:rsid w:val="7CF03B2B"/>
    <w:rsid w:val="7CF63E55"/>
    <w:rsid w:val="7CF86845"/>
    <w:rsid w:val="7CFB019F"/>
    <w:rsid w:val="7D0D68E1"/>
    <w:rsid w:val="7D2C443B"/>
    <w:rsid w:val="7D35427B"/>
    <w:rsid w:val="7D4A097D"/>
    <w:rsid w:val="7D674F56"/>
    <w:rsid w:val="7D71340A"/>
    <w:rsid w:val="7D7F1E2E"/>
    <w:rsid w:val="7D8F2E2D"/>
    <w:rsid w:val="7D9C730A"/>
    <w:rsid w:val="7D9E7560"/>
    <w:rsid w:val="7DA2104B"/>
    <w:rsid w:val="7DA500DB"/>
    <w:rsid w:val="7DB07E47"/>
    <w:rsid w:val="7DB960B4"/>
    <w:rsid w:val="7DBC4076"/>
    <w:rsid w:val="7DC760F0"/>
    <w:rsid w:val="7DCE167B"/>
    <w:rsid w:val="7DEE036E"/>
    <w:rsid w:val="7DEE575B"/>
    <w:rsid w:val="7E0505E0"/>
    <w:rsid w:val="7E074E3D"/>
    <w:rsid w:val="7E2C2272"/>
    <w:rsid w:val="7E2E08B8"/>
    <w:rsid w:val="7E3136E1"/>
    <w:rsid w:val="7E47540C"/>
    <w:rsid w:val="7E494AE5"/>
    <w:rsid w:val="7E4D78E7"/>
    <w:rsid w:val="7E543C30"/>
    <w:rsid w:val="7E5A6094"/>
    <w:rsid w:val="7E5E14AF"/>
    <w:rsid w:val="7E5E1A92"/>
    <w:rsid w:val="7E8416EF"/>
    <w:rsid w:val="7E8770BB"/>
    <w:rsid w:val="7E8C3442"/>
    <w:rsid w:val="7E9225B1"/>
    <w:rsid w:val="7E931E61"/>
    <w:rsid w:val="7EAA0183"/>
    <w:rsid w:val="7EB24BE4"/>
    <w:rsid w:val="7ECD40C5"/>
    <w:rsid w:val="7ED101FB"/>
    <w:rsid w:val="7ED3454A"/>
    <w:rsid w:val="7ED704B2"/>
    <w:rsid w:val="7EE05AA2"/>
    <w:rsid w:val="7EE11C18"/>
    <w:rsid w:val="7F1E132D"/>
    <w:rsid w:val="7F2F20A7"/>
    <w:rsid w:val="7F357998"/>
    <w:rsid w:val="7F45076E"/>
    <w:rsid w:val="7F4D5206"/>
    <w:rsid w:val="7F683EEF"/>
    <w:rsid w:val="7F746B86"/>
    <w:rsid w:val="7F9234CA"/>
    <w:rsid w:val="7F9B357F"/>
    <w:rsid w:val="7FBC7079"/>
    <w:rsid w:val="7FC100B6"/>
    <w:rsid w:val="7FC40167"/>
    <w:rsid w:val="7FC92CA1"/>
    <w:rsid w:val="7FDA5D6E"/>
    <w:rsid w:val="7FEB2FF5"/>
    <w:rsid w:val="7FF02F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Times New Roman" w:eastAsia="仿宋" w:cs="Times New Roman"/>
      <w:kern w:val="30"/>
      <w:sz w:val="30"/>
      <w:szCs w:val="21"/>
      <w:lang w:val="en-US" w:eastAsia="zh-CN" w:bidi="ar-SA"/>
    </w:rPr>
  </w:style>
  <w:style w:type="paragraph" w:styleId="3">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4"/>
    <w:qFormat/>
    <w:uiPriority w:val="99"/>
    <w:pPr>
      <w:keepNext/>
      <w:keepLines/>
      <w:spacing w:before="260" w:after="260" w:line="416" w:lineRule="auto"/>
      <w:outlineLvl w:val="1"/>
    </w:pPr>
    <w:rPr>
      <w:rFonts w:ascii="Cambria" w:hAnsi="Cambria"/>
      <w:b/>
      <w:bCs/>
      <w:kern w:val="0"/>
      <w:sz w:val="32"/>
      <w:szCs w:val="32"/>
    </w:rPr>
  </w:style>
  <w:style w:type="paragraph" w:styleId="5">
    <w:name w:val="heading 3"/>
    <w:basedOn w:val="1"/>
    <w:next w:val="1"/>
    <w:link w:val="35"/>
    <w:qFormat/>
    <w:uiPriority w:val="99"/>
    <w:pPr>
      <w:keepNext/>
      <w:keepLines/>
      <w:spacing w:before="260" w:after="260" w:line="416" w:lineRule="auto"/>
      <w:outlineLvl w:val="2"/>
    </w:pPr>
    <w:rPr>
      <w:b/>
      <w:bCs/>
      <w:kern w:val="0"/>
      <w:sz w:val="32"/>
      <w:szCs w:val="32"/>
    </w:rPr>
  </w:style>
  <w:style w:type="paragraph" w:styleId="6">
    <w:name w:val="heading 4"/>
    <w:basedOn w:val="1"/>
    <w:next w:val="1"/>
    <w:link w:val="5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toc 7"/>
    <w:basedOn w:val="1"/>
    <w:next w:val="1"/>
    <w:unhideWhenUsed/>
    <w:qFormat/>
    <w:uiPriority w:val="39"/>
    <w:pPr>
      <w:ind w:left="1800"/>
      <w:jc w:val="left"/>
    </w:pPr>
    <w:rPr>
      <w:rFonts w:asciiTheme="minorHAnsi" w:hAnsiTheme="minorHAnsi" w:cstheme="minorHAnsi"/>
      <w:sz w:val="18"/>
      <w:szCs w:val="18"/>
    </w:rPr>
  </w:style>
  <w:style w:type="paragraph" w:styleId="8">
    <w:name w:val="Document Map"/>
    <w:basedOn w:val="1"/>
    <w:link w:val="41"/>
    <w:semiHidden/>
    <w:unhideWhenUsed/>
    <w:qFormat/>
    <w:uiPriority w:val="99"/>
    <w:rPr>
      <w:rFonts w:ascii="宋体"/>
      <w:sz w:val="18"/>
      <w:szCs w:val="18"/>
    </w:rPr>
  </w:style>
  <w:style w:type="paragraph" w:styleId="9">
    <w:name w:val="annotation text"/>
    <w:basedOn w:val="1"/>
    <w:link w:val="39"/>
    <w:unhideWhenUsed/>
    <w:qFormat/>
    <w:uiPriority w:val="99"/>
    <w:pPr>
      <w:jc w:val="left"/>
    </w:pPr>
  </w:style>
  <w:style w:type="paragraph" w:styleId="10">
    <w:name w:val="Body Text"/>
    <w:basedOn w:val="1"/>
    <w:next w:val="11"/>
    <w:link w:val="46"/>
    <w:qFormat/>
    <w:uiPriority w:val="1"/>
    <w:pPr>
      <w:ind w:left="119"/>
      <w:jc w:val="left"/>
    </w:pPr>
    <w:rPr>
      <w:rFonts w:ascii="仿宋_GB2312" w:hAnsi="仿宋_GB2312" w:eastAsia="仿宋_GB2312" w:cstheme="minorBidi"/>
      <w:kern w:val="0"/>
      <w:szCs w:val="30"/>
      <w:lang w:eastAsia="en-US"/>
    </w:rPr>
  </w:style>
  <w:style w:type="paragraph" w:styleId="11">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12">
    <w:name w:val="toc 5"/>
    <w:basedOn w:val="1"/>
    <w:next w:val="1"/>
    <w:unhideWhenUsed/>
    <w:qFormat/>
    <w:uiPriority w:val="39"/>
    <w:pPr>
      <w:ind w:left="1200"/>
      <w:jc w:val="left"/>
    </w:pPr>
    <w:rPr>
      <w:rFonts w:asciiTheme="minorHAnsi" w:hAnsiTheme="minorHAnsi" w:cstheme="minorHAnsi"/>
      <w:sz w:val="18"/>
      <w:szCs w:val="18"/>
    </w:rPr>
  </w:style>
  <w:style w:type="paragraph" w:styleId="13">
    <w:name w:val="toc 3"/>
    <w:basedOn w:val="1"/>
    <w:next w:val="1"/>
    <w:unhideWhenUsed/>
    <w:qFormat/>
    <w:uiPriority w:val="39"/>
    <w:pPr>
      <w:ind w:left="600"/>
      <w:jc w:val="left"/>
    </w:pPr>
    <w:rPr>
      <w:rFonts w:asciiTheme="minorHAnsi" w:hAnsiTheme="minorHAnsi" w:cstheme="minorHAnsi"/>
      <w:i/>
      <w:iCs/>
      <w:sz w:val="20"/>
      <w:szCs w:val="20"/>
    </w:rPr>
  </w:style>
  <w:style w:type="paragraph" w:styleId="14">
    <w:name w:val="toc 8"/>
    <w:basedOn w:val="1"/>
    <w:next w:val="1"/>
    <w:unhideWhenUsed/>
    <w:qFormat/>
    <w:uiPriority w:val="39"/>
    <w:pPr>
      <w:ind w:left="2100"/>
      <w:jc w:val="left"/>
    </w:pPr>
    <w:rPr>
      <w:rFonts w:asciiTheme="minorHAnsi" w:hAnsiTheme="minorHAnsi" w:cstheme="minorHAnsi"/>
      <w:sz w:val="18"/>
      <w:szCs w:val="18"/>
    </w:rPr>
  </w:style>
  <w:style w:type="paragraph" w:styleId="15">
    <w:name w:val="Balloon Text"/>
    <w:basedOn w:val="1"/>
    <w:link w:val="38"/>
    <w:semiHidden/>
    <w:unhideWhenUsed/>
    <w:qFormat/>
    <w:uiPriority w:val="99"/>
    <w:rPr>
      <w:sz w:val="18"/>
      <w:szCs w:val="18"/>
    </w:rPr>
  </w:style>
  <w:style w:type="paragraph" w:styleId="16">
    <w:name w:val="header"/>
    <w:basedOn w:val="1"/>
    <w:link w:val="3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toc 1"/>
    <w:basedOn w:val="1"/>
    <w:next w:val="1"/>
    <w:unhideWhenUsed/>
    <w:qFormat/>
    <w:uiPriority w:val="39"/>
    <w:pPr>
      <w:spacing w:before="120" w:after="120"/>
      <w:jc w:val="left"/>
    </w:pPr>
    <w:rPr>
      <w:rFonts w:asciiTheme="minorHAnsi" w:hAnsiTheme="minorHAnsi" w:cstheme="minorHAnsi"/>
      <w:b/>
      <w:bCs/>
      <w:caps/>
      <w:sz w:val="20"/>
      <w:szCs w:val="20"/>
    </w:rPr>
  </w:style>
  <w:style w:type="paragraph" w:styleId="18">
    <w:name w:val="toc 4"/>
    <w:basedOn w:val="1"/>
    <w:next w:val="1"/>
    <w:unhideWhenUsed/>
    <w:qFormat/>
    <w:uiPriority w:val="39"/>
    <w:pPr>
      <w:ind w:left="900"/>
      <w:jc w:val="left"/>
    </w:pPr>
    <w:rPr>
      <w:rFonts w:asciiTheme="minorHAnsi" w:hAnsiTheme="minorHAnsi" w:cstheme="minorHAnsi"/>
      <w:sz w:val="18"/>
      <w:szCs w:val="18"/>
    </w:rPr>
  </w:style>
  <w:style w:type="paragraph" w:styleId="19">
    <w:name w:val="toc 6"/>
    <w:basedOn w:val="1"/>
    <w:next w:val="1"/>
    <w:unhideWhenUsed/>
    <w:qFormat/>
    <w:uiPriority w:val="39"/>
    <w:pPr>
      <w:ind w:left="1500"/>
      <w:jc w:val="left"/>
    </w:pPr>
    <w:rPr>
      <w:rFonts w:asciiTheme="minorHAnsi" w:hAnsiTheme="minorHAnsi" w:cstheme="minorHAnsi"/>
      <w:sz w:val="18"/>
      <w:szCs w:val="18"/>
    </w:rPr>
  </w:style>
  <w:style w:type="paragraph" w:styleId="20">
    <w:name w:val="toc 2"/>
    <w:basedOn w:val="1"/>
    <w:next w:val="1"/>
    <w:unhideWhenUsed/>
    <w:qFormat/>
    <w:uiPriority w:val="39"/>
    <w:pPr>
      <w:ind w:left="300"/>
      <w:jc w:val="left"/>
    </w:pPr>
    <w:rPr>
      <w:rFonts w:asciiTheme="minorHAnsi" w:hAnsiTheme="minorHAnsi" w:cstheme="minorHAnsi"/>
      <w:smallCaps/>
      <w:sz w:val="20"/>
      <w:szCs w:val="20"/>
    </w:rPr>
  </w:style>
  <w:style w:type="paragraph" w:styleId="21">
    <w:name w:val="toc 9"/>
    <w:basedOn w:val="1"/>
    <w:next w:val="1"/>
    <w:unhideWhenUsed/>
    <w:qFormat/>
    <w:uiPriority w:val="39"/>
    <w:pPr>
      <w:ind w:left="2400"/>
      <w:jc w:val="left"/>
    </w:pPr>
    <w:rPr>
      <w:rFonts w:asciiTheme="minorHAnsi" w:hAnsiTheme="minorHAnsi" w:cstheme="minorHAnsi"/>
      <w:sz w:val="18"/>
      <w:szCs w:val="18"/>
    </w:rPr>
  </w:style>
  <w:style w:type="paragraph" w:styleId="2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3">
    <w:name w:val="annotation subject"/>
    <w:basedOn w:val="9"/>
    <w:next w:val="9"/>
    <w:link w:val="40"/>
    <w:semiHidden/>
    <w:unhideWhenUsed/>
    <w:qFormat/>
    <w:uiPriority w:val="99"/>
    <w:rPr>
      <w:b/>
      <w:bCs/>
    </w:rPr>
  </w:style>
  <w:style w:type="paragraph" w:styleId="24">
    <w:name w:val="Body Text First Indent"/>
    <w:basedOn w:val="10"/>
    <w:qFormat/>
    <w:uiPriority w:val="0"/>
    <w:pPr>
      <w:ind w:firstLine="420" w:firstLineChars="100"/>
    </w:pPr>
    <w:rPr>
      <w:rFonts w:ascii="Times New Roman" w:hAnsi="Times New Roman"/>
    </w:rPr>
  </w:style>
  <w:style w:type="table" w:styleId="26">
    <w:name w:val="Table Grid"/>
    <w:basedOn w:val="25"/>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8">
    <w:name w:val="page number"/>
    <w:basedOn w:val="27"/>
    <w:qFormat/>
    <w:uiPriority w:val="0"/>
  </w:style>
  <w:style w:type="character" w:styleId="29">
    <w:name w:val="FollowedHyperlink"/>
    <w:basedOn w:val="27"/>
    <w:semiHidden/>
    <w:unhideWhenUsed/>
    <w:qFormat/>
    <w:uiPriority w:val="99"/>
    <w:rPr>
      <w:color w:val="800080"/>
      <w:u w:val="none"/>
    </w:rPr>
  </w:style>
  <w:style w:type="character" w:styleId="30">
    <w:name w:val="Hyperlink"/>
    <w:basedOn w:val="27"/>
    <w:unhideWhenUsed/>
    <w:qFormat/>
    <w:uiPriority w:val="99"/>
    <w:rPr>
      <w:color w:val="0000FF" w:themeColor="hyperlink"/>
      <w:u w:val="single"/>
      <w14:textFill>
        <w14:solidFill>
          <w14:schemeClr w14:val="hlink"/>
        </w14:solidFill>
      </w14:textFill>
    </w:rPr>
  </w:style>
  <w:style w:type="character" w:styleId="31">
    <w:name w:val="annotation reference"/>
    <w:basedOn w:val="27"/>
    <w:semiHidden/>
    <w:unhideWhenUsed/>
    <w:qFormat/>
    <w:uiPriority w:val="99"/>
    <w:rPr>
      <w:sz w:val="21"/>
      <w:szCs w:val="21"/>
    </w:rPr>
  </w:style>
  <w:style w:type="character" w:styleId="32">
    <w:name w:val="HTML Cite"/>
    <w:basedOn w:val="27"/>
    <w:semiHidden/>
    <w:unhideWhenUsed/>
    <w:qFormat/>
    <w:uiPriority w:val="99"/>
  </w:style>
  <w:style w:type="character" w:customStyle="1" w:styleId="33">
    <w:name w:val="标题 1 字符"/>
    <w:basedOn w:val="27"/>
    <w:link w:val="3"/>
    <w:qFormat/>
    <w:uiPriority w:val="9"/>
    <w:rPr>
      <w:rFonts w:ascii="Times New Roman" w:hAnsi="Times New Roman" w:eastAsia="宋体" w:cs="Times New Roman"/>
      <w:b/>
      <w:bCs/>
      <w:kern w:val="44"/>
      <w:sz w:val="44"/>
      <w:szCs w:val="44"/>
    </w:rPr>
  </w:style>
  <w:style w:type="character" w:customStyle="1" w:styleId="34">
    <w:name w:val="标题 2 字符"/>
    <w:basedOn w:val="27"/>
    <w:link w:val="4"/>
    <w:qFormat/>
    <w:uiPriority w:val="99"/>
    <w:rPr>
      <w:rFonts w:ascii="Cambria" w:hAnsi="Cambria" w:eastAsia="宋体" w:cs="Times New Roman"/>
      <w:b/>
      <w:bCs/>
      <w:kern w:val="0"/>
      <w:sz w:val="32"/>
      <w:szCs w:val="32"/>
    </w:rPr>
  </w:style>
  <w:style w:type="character" w:customStyle="1" w:styleId="35">
    <w:name w:val="标题 3 字符"/>
    <w:basedOn w:val="27"/>
    <w:link w:val="5"/>
    <w:qFormat/>
    <w:uiPriority w:val="99"/>
    <w:rPr>
      <w:rFonts w:ascii="Times New Roman" w:hAnsi="Times New Roman" w:eastAsia="宋体" w:cs="Times New Roman"/>
      <w:b/>
      <w:bCs/>
      <w:kern w:val="0"/>
      <w:sz w:val="32"/>
      <w:szCs w:val="32"/>
    </w:rPr>
  </w:style>
  <w:style w:type="character" w:customStyle="1" w:styleId="36">
    <w:name w:val="页眉 字符"/>
    <w:basedOn w:val="27"/>
    <w:link w:val="16"/>
    <w:qFormat/>
    <w:uiPriority w:val="99"/>
    <w:rPr>
      <w:sz w:val="18"/>
      <w:szCs w:val="18"/>
    </w:rPr>
  </w:style>
  <w:style w:type="character" w:customStyle="1" w:styleId="37">
    <w:name w:val="页脚 字符"/>
    <w:basedOn w:val="27"/>
    <w:link w:val="2"/>
    <w:qFormat/>
    <w:uiPriority w:val="99"/>
    <w:rPr>
      <w:sz w:val="18"/>
      <w:szCs w:val="18"/>
    </w:rPr>
  </w:style>
  <w:style w:type="character" w:customStyle="1" w:styleId="38">
    <w:name w:val="批注框文本 字符"/>
    <w:basedOn w:val="27"/>
    <w:link w:val="15"/>
    <w:semiHidden/>
    <w:qFormat/>
    <w:uiPriority w:val="99"/>
    <w:rPr>
      <w:rFonts w:ascii="Times New Roman" w:hAnsi="Times New Roman" w:eastAsia="宋体" w:cs="Times New Roman"/>
      <w:sz w:val="18"/>
      <w:szCs w:val="18"/>
    </w:rPr>
  </w:style>
  <w:style w:type="character" w:customStyle="1" w:styleId="39">
    <w:name w:val="批注文字 字符"/>
    <w:basedOn w:val="27"/>
    <w:link w:val="9"/>
    <w:qFormat/>
    <w:uiPriority w:val="99"/>
    <w:rPr>
      <w:rFonts w:ascii="Times New Roman" w:hAnsi="Times New Roman" w:eastAsia="宋体" w:cs="Times New Roman"/>
      <w:szCs w:val="21"/>
    </w:rPr>
  </w:style>
  <w:style w:type="character" w:customStyle="1" w:styleId="40">
    <w:name w:val="批注主题 字符"/>
    <w:basedOn w:val="39"/>
    <w:link w:val="23"/>
    <w:semiHidden/>
    <w:qFormat/>
    <w:uiPriority w:val="99"/>
    <w:rPr>
      <w:rFonts w:ascii="Times New Roman" w:hAnsi="Times New Roman" w:eastAsia="宋体" w:cs="Times New Roman"/>
      <w:b/>
      <w:bCs/>
      <w:szCs w:val="21"/>
    </w:rPr>
  </w:style>
  <w:style w:type="character" w:customStyle="1" w:styleId="41">
    <w:name w:val="文档结构图 字符"/>
    <w:basedOn w:val="27"/>
    <w:link w:val="8"/>
    <w:semiHidden/>
    <w:qFormat/>
    <w:uiPriority w:val="99"/>
    <w:rPr>
      <w:rFonts w:ascii="宋体" w:hAnsi="Times New Roman" w:eastAsia="宋体" w:cs="Times New Roman"/>
      <w:sz w:val="18"/>
      <w:szCs w:val="18"/>
    </w:rPr>
  </w:style>
  <w:style w:type="paragraph" w:customStyle="1" w:styleId="42">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43">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44">
    <w:name w:val="页码 New New"/>
    <w:basedOn w:val="27"/>
    <w:qFormat/>
    <w:uiPriority w:val="0"/>
  </w:style>
  <w:style w:type="paragraph" w:styleId="45">
    <w:name w:val="List Paragraph"/>
    <w:basedOn w:val="1"/>
    <w:qFormat/>
    <w:uiPriority w:val="34"/>
    <w:pPr>
      <w:ind w:firstLine="420" w:firstLineChars="200"/>
    </w:pPr>
  </w:style>
  <w:style w:type="character" w:customStyle="1" w:styleId="46">
    <w:name w:val="正文文本 字符"/>
    <w:basedOn w:val="27"/>
    <w:link w:val="10"/>
    <w:qFormat/>
    <w:uiPriority w:val="1"/>
    <w:rPr>
      <w:rFonts w:ascii="仿宋_GB2312" w:hAnsi="仿宋_GB2312" w:eastAsia="仿宋_GB2312"/>
      <w:kern w:val="0"/>
      <w:sz w:val="30"/>
      <w:szCs w:val="30"/>
      <w:lang w:eastAsia="en-US"/>
    </w:rPr>
  </w:style>
  <w:style w:type="character" w:customStyle="1" w:styleId="47">
    <w:name w:val="未处理的提及1"/>
    <w:basedOn w:val="27"/>
    <w:semiHidden/>
    <w:unhideWhenUsed/>
    <w:qFormat/>
    <w:uiPriority w:val="99"/>
    <w:rPr>
      <w:color w:val="605E5C"/>
      <w:shd w:val="clear" w:color="auto" w:fill="E1DFDD"/>
    </w:rPr>
  </w:style>
  <w:style w:type="paragraph" w:customStyle="1" w:styleId="48">
    <w:name w:val="修订2"/>
    <w:hidden/>
    <w:unhideWhenUsed/>
    <w:qFormat/>
    <w:uiPriority w:val="99"/>
    <w:rPr>
      <w:rFonts w:ascii="仿宋" w:hAnsi="Times New Roman" w:eastAsia="仿宋" w:cs="Times New Roman"/>
      <w:kern w:val="30"/>
      <w:sz w:val="30"/>
      <w:szCs w:val="21"/>
      <w:lang w:val="en-US" w:eastAsia="zh-CN" w:bidi="ar-SA"/>
    </w:rPr>
  </w:style>
  <w:style w:type="paragraph" w:customStyle="1" w:styleId="49">
    <w:name w:val="TOC 标题2"/>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50">
    <w:name w:val="标题 4 字符"/>
    <w:basedOn w:val="27"/>
    <w:link w:val="6"/>
    <w:qFormat/>
    <w:uiPriority w:val="9"/>
    <w:rPr>
      <w:rFonts w:asciiTheme="majorHAnsi" w:hAnsiTheme="majorHAnsi" w:eastAsiaTheme="majorEastAsia" w:cstheme="majorBidi"/>
      <w:b/>
      <w:bCs/>
      <w:kern w:val="30"/>
      <w:sz w:val="28"/>
      <w:szCs w:val="28"/>
    </w:rPr>
  </w:style>
  <w:style w:type="paragraph" w:customStyle="1" w:styleId="51">
    <w:name w:val="Char Char Char1 Char"/>
    <w:basedOn w:val="1"/>
    <w:semiHidden/>
    <w:qFormat/>
    <w:uiPriority w:val="0"/>
    <w:pPr>
      <w:spacing w:line="360" w:lineRule="auto"/>
      <w:ind w:firstLine="200" w:firstLineChars="200"/>
    </w:pPr>
    <w:rPr>
      <w:rFonts w:ascii="宋体" w:hAnsi="宋体" w:eastAsia="宋体" w:cs="宋体"/>
      <w:kern w:val="2"/>
      <w:sz w:val="24"/>
      <w:szCs w:val="24"/>
    </w:rPr>
  </w:style>
  <w:style w:type="character" w:customStyle="1" w:styleId="52">
    <w:name w:val="ca-0"/>
    <w:qFormat/>
    <w:uiPriority w:val="0"/>
    <w:rPr>
      <w:rFonts w:ascii="Verdana" w:hAnsi="Verdana" w:eastAsia="仿宋_GB2312"/>
      <w:kern w:val="0"/>
      <w:sz w:val="24"/>
      <w:szCs w:val="20"/>
      <w:lang w:eastAsia="en-US"/>
    </w:rPr>
  </w:style>
  <w:style w:type="paragraph" w:customStyle="1" w:styleId="53">
    <w:name w:val="小标宋标题"/>
    <w:basedOn w:val="1"/>
    <w:qFormat/>
    <w:uiPriority w:val="0"/>
    <w:pPr>
      <w:spacing w:line="640" w:lineRule="exact"/>
      <w:jc w:val="center"/>
    </w:pPr>
    <w:rPr>
      <w:rFonts w:ascii="Times New Roman" w:eastAsia="方正小标宋_GBK"/>
      <w:sz w:val="44"/>
      <w:szCs w:val="44"/>
    </w:rPr>
  </w:style>
  <w:style w:type="paragraph" w:customStyle="1" w:styleId="54">
    <w:name w:val="p1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5">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character" w:customStyle="1" w:styleId="56">
    <w:name w:val="bsharetext"/>
    <w:basedOn w:val="27"/>
    <w:qFormat/>
    <w:uiPriority w:val="0"/>
  </w:style>
  <w:style w:type="paragraph" w:customStyle="1" w:styleId="57">
    <w:name w:val="正文部分"/>
    <w:basedOn w:val="1"/>
    <w:qFormat/>
    <w:uiPriority w:val="0"/>
    <w:pPr>
      <w:adjustRightInd w:val="0"/>
      <w:snapToGrid w:val="0"/>
      <w:spacing w:line="460" w:lineRule="exact"/>
      <w:textAlignment w:val="baseline"/>
    </w:pPr>
    <w:rPr>
      <w:rFonts w:ascii="宋体"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6F7DE5-A1D4-433E-9D9D-22E232657C34}">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16165</Words>
  <Characters>17434</Characters>
  <Lines>1</Lines>
  <Paragraphs>1</Paragraphs>
  <TotalTime>0</TotalTime>
  <ScaleCrop>false</ScaleCrop>
  <LinksUpToDate>false</LinksUpToDate>
  <CharactersWithSpaces>17536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2020-07-19T02:20:00Z</dcterms:created>
  <cp:lastPrinted>2022-09-11T03:08:00Z</cp:lastPrinted>
  <dcterms:modified xsi:type="dcterms:W3CDTF">2022-09-12T09:14:38Z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93EBD4C1369E494BAB9315AC4C1998F3</vt:lpwstr>
  </property>
</Properties>
</file>