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b/>
          <w:bCs/>
          <w:sz w:val="36"/>
          <w:szCs w:val="36"/>
        </w:rPr>
        <w:id w:val="147463681"/>
        <w15:color w:val="DBDBDB"/>
        <w:docPartObj>
          <w:docPartGallery w:val="Table of Contents"/>
          <w:docPartUnique/>
        </w:docPartObj>
      </w:sdtPr>
      <w:sdtEndPr>
        <w:rPr>
          <w:rFonts w:ascii="宋体" w:hAnsi="宋体" w:eastAsia="宋体"/>
          <w:b/>
          <w:bCs/>
          <w:sz w:val="21"/>
          <w:szCs w:val="21"/>
        </w:rPr>
      </w:sdtEndPr>
      <w:sdtContent>
        <w:p>
          <w:pPr>
            <w:jc w:val="center"/>
            <w:rPr>
              <w:rFonts w:ascii="宋体" w:hAnsi="宋体" w:eastAsia="宋体"/>
              <w:b/>
              <w:bCs/>
              <w:sz w:val="44"/>
              <w:szCs w:val="44"/>
            </w:rPr>
          </w:pPr>
          <w:bookmarkStart w:id="0" w:name="_Toc8389"/>
          <w:r>
            <w:rPr>
              <w:rFonts w:ascii="宋体" w:hAnsi="宋体" w:eastAsia="宋体"/>
              <w:b/>
              <w:bCs/>
              <w:sz w:val="44"/>
              <w:szCs w:val="44"/>
            </w:rPr>
            <w:t>目录</w:t>
          </w:r>
        </w:p>
        <w:p>
          <w:pPr>
            <w:pStyle w:val="8"/>
            <w:pBdr>
              <w:bottom w:val="none" w:color="auto" w:sz="0" w:space="1"/>
            </w:pBdr>
          </w:pPr>
        </w:p>
        <w:p>
          <w:pPr>
            <w:pStyle w:val="9"/>
            <w:keepNext w:val="0"/>
            <w:keepLines w:val="0"/>
            <w:pageBreakBefore w:val="0"/>
            <w:tabs>
              <w:tab w:val="right" w:leader="dot" w:pos="8306"/>
              <w:tab w:val="clear" w:pos="8296"/>
            </w:tabs>
            <w:kinsoku/>
            <w:wordWrap/>
            <w:overflowPunct/>
            <w:topLinePunct w:val="0"/>
            <w:autoSpaceDE/>
            <w:autoSpaceDN/>
            <w:bidi w:val="0"/>
            <w:adjustRightInd/>
            <w:snapToGrid/>
            <w:spacing w:line="240" w:lineRule="exact"/>
            <w:textAlignment w:val="auto"/>
            <w:rPr>
              <w:rFonts w:hint="eastAsia" w:ascii="黑体" w:hAnsi="黑体" w:eastAsia="黑体" w:cs="黑体"/>
              <w:b/>
              <w:bCs/>
              <w:sz w:val="20"/>
              <w:szCs w:val="20"/>
            </w:rPr>
          </w:pPr>
          <w:r>
            <w:rPr>
              <w:rFonts w:ascii="楷体" w:hAnsi="楷体" w:eastAsia="楷体"/>
              <w:sz w:val="21"/>
              <w:szCs w:val="21"/>
            </w:rPr>
            <w:fldChar w:fldCharType="begin"/>
          </w:r>
          <w:r>
            <w:rPr>
              <w:rFonts w:ascii="楷体" w:hAnsi="楷体" w:eastAsia="楷体"/>
              <w:sz w:val="21"/>
              <w:szCs w:val="21"/>
            </w:rPr>
            <w:instrText xml:space="preserve">TOC \o "1-3" \h \u </w:instrText>
          </w:r>
          <w:r>
            <w:rPr>
              <w:rFonts w:ascii="楷体" w:hAnsi="楷体" w:eastAsia="楷体"/>
              <w:sz w:val="21"/>
              <w:szCs w:val="21"/>
            </w:rPr>
            <w:fldChar w:fldCharType="separate"/>
          </w: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HYPERLINK \l _Toc15375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shd w:val="clear" w:color="auto" w:fill="FFFFFF" w:themeFill="background1"/>
            </w:rPr>
            <w:t>摘要</w:t>
          </w:r>
          <w:r>
            <w:rPr>
              <w:rFonts w:hint="eastAsia" w:ascii="黑体" w:hAnsi="黑体" w:eastAsia="黑体" w:cs="黑体"/>
              <w:b/>
              <w:bCs/>
              <w:sz w:val="20"/>
              <w:szCs w:val="20"/>
            </w:rPr>
            <w:tab/>
          </w: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PAGEREF _Toc15375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rPr>
            <w:t>ii</w:t>
          </w:r>
          <w:r>
            <w:rPr>
              <w:rFonts w:hint="eastAsia" w:ascii="黑体" w:hAnsi="黑体" w:eastAsia="黑体" w:cs="黑体"/>
              <w:b/>
              <w:bCs/>
              <w:sz w:val="20"/>
              <w:szCs w:val="20"/>
            </w:rPr>
            <w:fldChar w:fldCharType="end"/>
          </w:r>
          <w:r>
            <w:rPr>
              <w:rFonts w:hint="eastAsia" w:ascii="黑体" w:hAnsi="黑体" w:eastAsia="黑体" w:cs="黑体"/>
              <w:b/>
              <w:bCs/>
              <w:sz w:val="20"/>
              <w:szCs w:val="20"/>
            </w:rPr>
            <w:fldChar w:fldCharType="end"/>
          </w:r>
        </w:p>
        <w:p>
          <w:pPr>
            <w:pStyle w:val="9"/>
            <w:keepNext w:val="0"/>
            <w:keepLines w:val="0"/>
            <w:pageBreakBefore w:val="0"/>
            <w:tabs>
              <w:tab w:val="right" w:leader="dot" w:pos="8306"/>
              <w:tab w:val="clear" w:pos="8296"/>
            </w:tabs>
            <w:kinsoku/>
            <w:wordWrap/>
            <w:overflowPunct/>
            <w:topLinePunct w:val="0"/>
            <w:autoSpaceDE/>
            <w:autoSpaceDN/>
            <w:bidi w:val="0"/>
            <w:adjustRightInd/>
            <w:snapToGrid/>
            <w:spacing w:line="240" w:lineRule="exact"/>
            <w:textAlignment w:val="auto"/>
            <w:rPr>
              <w:rFonts w:hint="eastAsia" w:ascii="黑体" w:hAnsi="黑体" w:eastAsia="黑体" w:cs="黑体"/>
              <w:b/>
              <w:bCs/>
              <w:sz w:val="20"/>
              <w:szCs w:val="20"/>
            </w:rPr>
          </w:pP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HYPERLINK \l _Toc23806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shd w:val="clear" w:color="auto" w:fill="FFFFFF" w:themeFill="background1"/>
            </w:rPr>
            <w:t>报告正文</w:t>
          </w:r>
          <w:r>
            <w:rPr>
              <w:rFonts w:hint="eastAsia" w:ascii="黑体" w:hAnsi="黑体" w:eastAsia="黑体" w:cs="黑体"/>
              <w:b/>
              <w:bCs/>
              <w:sz w:val="20"/>
              <w:szCs w:val="20"/>
            </w:rPr>
            <w:tab/>
          </w: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PAGEREF _Toc23806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rPr>
            <w:t>1</w:t>
          </w:r>
          <w:r>
            <w:rPr>
              <w:rFonts w:hint="eastAsia" w:ascii="黑体" w:hAnsi="黑体" w:eastAsia="黑体" w:cs="黑体"/>
              <w:b/>
              <w:bCs/>
              <w:sz w:val="20"/>
              <w:szCs w:val="20"/>
            </w:rPr>
            <w:fldChar w:fldCharType="end"/>
          </w:r>
          <w:r>
            <w:rPr>
              <w:rFonts w:hint="eastAsia" w:ascii="黑体" w:hAnsi="黑体" w:eastAsia="黑体" w:cs="黑体"/>
              <w:b/>
              <w:bCs/>
              <w:sz w:val="20"/>
              <w:szCs w:val="20"/>
            </w:rPr>
            <w:fldChar w:fldCharType="end"/>
          </w:r>
        </w:p>
        <w:p>
          <w:pPr>
            <w:pStyle w:val="9"/>
            <w:keepNext w:val="0"/>
            <w:keepLines w:val="0"/>
            <w:pageBreakBefore w:val="0"/>
            <w:tabs>
              <w:tab w:val="right" w:leader="dot" w:pos="8306"/>
              <w:tab w:val="clear" w:pos="8296"/>
            </w:tabs>
            <w:kinsoku/>
            <w:wordWrap/>
            <w:overflowPunct/>
            <w:topLinePunct w:val="0"/>
            <w:autoSpaceDE/>
            <w:autoSpaceDN/>
            <w:bidi w:val="0"/>
            <w:adjustRightInd/>
            <w:snapToGrid/>
            <w:spacing w:line="240" w:lineRule="exact"/>
            <w:textAlignment w:val="auto"/>
          </w:pP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HYPERLINK \l _Toc828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shd w:val="clear" w:color="auto" w:fill="FFFFFF" w:themeFill="background1"/>
            </w:rPr>
            <w:t>一、项目基本情况</w:t>
          </w:r>
          <w:r>
            <w:rPr>
              <w:rFonts w:hint="eastAsia" w:ascii="黑体" w:hAnsi="黑体" w:eastAsia="黑体" w:cs="黑体"/>
              <w:b/>
              <w:bCs/>
              <w:sz w:val="20"/>
              <w:szCs w:val="20"/>
            </w:rPr>
            <w:tab/>
          </w: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PAGEREF _Toc828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rPr>
            <w:t>1</w:t>
          </w:r>
          <w:r>
            <w:rPr>
              <w:rFonts w:hint="eastAsia" w:ascii="黑体" w:hAnsi="黑体" w:eastAsia="黑体" w:cs="黑体"/>
              <w:b/>
              <w:bCs/>
              <w:sz w:val="20"/>
              <w:szCs w:val="20"/>
            </w:rPr>
            <w:fldChar w:fldCharType="end"/>
          </w:r>
          <w:r>
            <w:rPr>
              <w:rFonts w:hint="eastAsia" w:ascii="黑体" w:hAnsi="黑体" w:eastAsia="黑体" w:cs="黑体"/>
              <w:b/>
              <w:bCs/>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_Toc29154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（一）项目名称</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_Toc29154 </w:instrText>
          </w:r>
          <w:r>
            <w:rPr>
              <w:rFonts w:hint="eastAsia" w:ascii="楷体" w:hAnsi="楷体" w:eastAsia="楷体" w:cs="楷体"/>
              <w:sz w:val="20"/>
              <w:szCs w:val="20"/>
            </w:rPr>
            <w:fldChar w:fldCharType="separate"/>
          </w:r>
          <w:r>
            <w:rPr>
              <w:rFonts w:hint="eastAsia" w:ascii="楷体" w:hAnsi="楷体" w:eastAsia="楷体" w:cs="楷体"/>
              <w:sz w:val="20"/>
              <w:szCs w:val="20"/>
            </w:rPr>
            <w:t>1</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_Toc32575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（二）项目主管单位</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_Toc32575 </w:instrText>
          </w:r>
          <w:r>
            <w:rPr>
              <w:rFonts w:hint="eastAsia" w:ascii="楷体" w:hAnsi="楷体" w:eastAsia="楷体" w:cs="楷体"/>
              <w:sz w:val="20"/>
              <w:szCs w:val="20"/>
            </w:rPr>
            <w:fldChar w:fldCharType="separate"/>
          </w:r>
          <w:r>
            <w:rPr>
              <w:rFonts w:hint="eastAsia" w:ascii="楷体" w:hAnsi="楷体" w:eastAsia="楷体" w:cs="楷体"/>
              <w:sz w:val="20"/>
              <w:szCs w:val="20"/>
            </w:rPr>
            <w:t>1</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_Toc4846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（三）项目实施内容</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_Toc4846 </w:instrText>
          </w:r>
          <w:r>
            <w:rPr>
              <w:rFonts w:hint="eastAsia" w:ascii="楷体" w:hAnsi="楷体" w:eastAsia="楷体" w:cs="楷体"/>
              <w:sz w:val="20"/>
              <w:szCs w:val="20"/>
            </w:rPr>
            <w:fldChar w:fldCharType="separate"/>
          </w:r>
          <w:r>
            <w:rPr>
              <w:rFonts w:hint="eastAsia" w:ascii="楷体" w:hAnsi="楷体" w:eastAsia="楷体" w:cs="楷体"/>
              <w:sz w:val="20"/>
              <w:szCs w:val="20"/>
            </w:rPr>
            <w:t>1</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_Toc3456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（四）项目资金预算</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_Toc3456 </w:instrText>
          </w:r>
          <w:r>
            <w:rPr>
              <w:rFonts w:hint="eastAsia" w:ascii="楷体" w:hAnsi="楷体" w:eastAsia="楷体" w:cs="楷体"/>
              <w:sz w:val="20"/>
              <w:szCs w:val="20"/>
            </w:rPr>
            <w:fldChar w:fldCharType="separate"/>
          </w:r>
          <w:r>
            <w:rPr>
              <w:rFonts w:hint="eastAsia" w:ascii="楷体" w:hAnsi="楷体" w:eastAsia="楷体" w:cs="楷体"/>
              <w:sz w:val="20"/>
              <w:szCs w:val="20"/>
            </w:rPr>
            <w:t>1</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_Toc537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（五）绩效评价范围</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_Toc537 </w:instrText>
          </w:r>
          <w:r>
            <w:rPr>
              <w:rFonts w:hint="eastAsia" w:ascii="楷体" w:hAnsi="楷体" w:eastAsia="楷体" w:cs="楷体"/>
              <w:sz w:val="20"/>
              <w:szCs w:val="20"/>
            </w:rPr>
            <w:fldChar w:fldCharType="separate"/>
          </w:r>
          <w:r>
            <w:rPr>
              <w:rFonts w:hint="eastAsia" w:ascii="楷体" w:hAnsi="楷体" w:eastAsia="楷体" w:cs="楷体"/>
              <w:sz w:val="20"/>
              <w:szCs w:val="20"/>
            </w:rPr>
            <w:t>2</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9"/>
            <w:keepNext w:val="0"/>
            <w:keepLines w:val="0"/>
            <w:pageBreakBefore w:val="0"/>
            <w:tabs>
              <w:tab w:val="right" w:leader="dot" w:pos="8306"/>
              <w:tab w:val="clear" w:pos="8296"/>
            </w:tabs>
            <w:kinsoku/>
            <w:wordWrap/>
            <w:overflowPunct/>
            <w:topLinePunct w:val="0"/>
            <w:autoSpaceDE/>
            <w:autoSpaceDN/>
            <w:bidi w:val="0"/>
            <w:adjustRightInd/>
            <w:snapToGrid/>
            <w:spacing w:line="240" w:lineRule="exact"/>
            <w:textAlignment w:val="auto"/>
          </w:pP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HYPERLINK \l _Toc10186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shd w:val="clear" w:color="auto" w:fill="FFFFFF" w:themeFill="background1"/>
            </w:rPr>
            <w:t>二、绩效评价工作情况</w:t>
          </w:r>
          <w:r>
            <w:rPr>
              <w:rFonts w:hint="eastAsia" w:ascii="黑体" w:hAnsi="黑体" w:eastAsia="黑体" w:cs="黑体"/>
              <w:b/>
              <w:bCs/>
              <w:sz w:val="20"/>
              <w:szCs w:val="20"/>
            </w:rPr>
            <w:tab/>
          </w: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PAGEREF _Toc10186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rPr>
            <w:t>2</w:t>
          </w:r>
          <w:r>
            <w:rPr>
              <w:rFonts w:hint="eastAsia" w:ascii="黑体" w:hAnsi="黑体" w:eastAsia="黑体" w:cs="黑体"/>
              <w:b/>
              <w:bCs/>
              <w:sz w:val="20"/>
              <w:szCs w:val="20"/>
            </w:rPr>
            <w:fldChar w:fldCharType="end"/>
          </w:r>
          <w:r>
            <w:rPr>
              <w:rFonts w:hint="eastAsia" w:ascii="黑体" w:hAnsi="黑体" w:eastAsia="黑体" w:cs="黑体"/>
              <w:b/>
              <w:bCs/>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_Toc23284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（一）绩效评价的目的</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_Toc23284 </w:instrText>
          </w:r>
          <w:r>
            <w:rPr>
              <w:rFonts w:hint="eastAsia" w:ascii="楷体" w:hAnsi="楷体" w:eastAsia="楷体" w:cs="楷体"/>
              <w:sz w:val="20"/>
              <w:szCs w:val="20"/>
            </w:rPr>
            <w:fldChar w:fldCharType="separate"/>
          </w:r>
          <w:r>
            <w:rPr>
              <w:rFonts w:hint="eastAsia" w:ascii="楷体" w:hAnsi="楷体" w:eastAsia="楷体" w:cs="楷体"/>
              <w:sz w:val="20"/>
              <w:szCs w:val="20"/>
            </w:rPr>
            <w:t>2</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_Toc2228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（二）绩效评价主要依据</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_Toc2228 </w:instrText>
          </w:r>
          <w:r>
            <w:rPr>
              <w:rFonts w:hint="eastAsia" w:ascii="楷体" w:hAnsi="楷体" w:eastAsia="楷体" w:cs="楷体"/>
              <w:sz w:val="20"/>
              <w:szCs w:val="20"/>
            </w:rPr>
            <w:fldChar w:fldCharType="separate"/>
          </w:r>
          <w:r>
            <w:rPr>
              <w:rFonts w:hint="eastAsia" w:ascii="楷体" w:hAnsi="楷体" w:eastAsia="楷体" w:cs="楷体"/>
              <w:sz w:val="20"/>
              <w:szCs w:val="20"/>
            </w:rPr>
            <w:t>2</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_Toc19954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（三）绩效评价原则标准</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_Toc19954 </w:instrText>
          </w:r>
          <w:r>
            <w:rPr>
              <w:rFonts w:hint="eastAsia" w:ascii="楷体" w:hAnsi="楷体" w:eastAsia="楷体" w:cs="楷体"/>
              <w:sz w:val="20"/>
              <w:szCs w:val="20"/>
            </w:rPr>
            <w:fldChar w:fldCharType="separate"/>
          </w:r>
          <w:r>
            <w:rPr>
              <w:rFonts w:hint="eastAsia" w:ascii="楷体" w:hAnsi="楷体" w:eastAsia="楷体" w:cs="楷体"/>
              <w:sz w:val="20"/>
              <w:szCs w:val="20"/>
            </w:rPr>
            <w:t>3</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_Toc26157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（四）绩效评价组织管理</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_Toc26157 </w:instrText>
          </w:r>
          <w:r>
            <w:rPr>
              <w:rFonts w:hint="eastAsia" w:ascii="楷体" w:hAnsi="楷体" w:eastAsia="楷体" w:cs="楷体"/>
              <w:sz w:val="20"/>
              <w:szCs w:val="20"/>
            </w:rPr>
            <w:fldChar w:fldCharType="separate"/>
          </w:r>
          <w:r>
            <w:rPr>
              <w:rFonts w:hint="eastAsia" w:ascii="楷体" w:hAnsi="楷体" w:eastAsia="楷体" w:cs="楷体"/>
              <w:sz w:val="20"/>
              <w:szCs w:val="20"/>
            </w:rPr>
            <w:t>4</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_Toc11083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（五）重点评价内容</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_Toc11083 </w:instrText>
          </w:r>
          <w:r>
            <w:rPr>
              <w:rFonts w:hint="eastAsia" w:ascii="楷体" w:hAnsi="楷体" w:eastAsia="楷体" w:cs="楷体"/>
              <w:sz w:val="20"/>
              <w:szCs w:val="20"/>
            </w:rPr>
            <w:fldChar w:fldCharType="separate"/>
          </w:r>
          <w:r>
            <w:rPr>
              <w:rFonts w:hint="eastAsia" w:ascii="楷体" w:hAnsi="楷体" w:eastAsia="楷体" w:cs="楷体"/>
              <w:sz w:val="20"/>
              <w:szCs w:val="20"/>
            </w:rPr>
            <w:t>4</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_Toc8563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（六）绩效评价指标体系</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_Toc8563 </w:instrText>
          </w:r>
          <w:r>
            <w:rPr>
              <w:rFonts w:hint="eastAsia" w:ascii="楷体" w:hAnsi="楷体" w:eastAsia="楷体" w:cs="楷体"/>
              <w:sz w:val="20"/>
              <w:szCs w:val="20"/>
            </w:rPr>
            <w:fldChar w:fldCharType="separate"/>
          </w:r>
          <w:r>
            <w:rPr>
              <w:rFonts w:hint="eastAsia" w:ascii="楷体" w:hAnsi="楷体" w:eastAsia="楷体" w:cs="楷体"/>
              <w:sz w:val="20"/>
              <w:szCs w:val="20"/>
            </w:rPr>
            <w:t>4</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_Toc24995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（七）绩效评价方法</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_Toc24995 </w:instrText>
          </w:r>
          <w:r>
            <w:rPr>
              <w:rFonts w:hint="eastAsia" w:ascii="楷体" w:hAnsi="楷体" w:eastAsia="楷体" w:cs="楷体"/>
              <w:sz w:val="20"/>
              <w:szCs w:val="20"/>
            </w:rPr>
            <w:fldChar w:fldCharType="separate"/>
          </w:r>
          <w:r>
            <w:rPr>
              <w:rFonts w:hint="eastAsia" w:ascii="楷体" w:hAnsi="楷体" w:eastAsia="楷体" w:cs="楷体"/>
              <w:sz w:val="20"/>
              <w:szCs w:val="20"/>
            </w:rPr>
            <w:t>5</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_Toc8077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（八）绩效评价实施过程</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_Toc8077 </w:instrText>
          </w:r>
          <w:r>
            <w:rPr>
              <w:rFonts w:hint="eastAsia" w:ascii="楷体" w:hAnsi="楷体" w:eastAsia="楷体" w:cs="楷体"/>
              <w:sz w:val="20"/>
              <w:szCs w:val="20"/>
            </w:rPr>
            <w:fldChar w:fldCharType="separate"/>
          </w:r>
          <w:r>
            <w:rPr>
              <w:rFonts w:hint="eastAsia" w:ascii="楷体" w:hAnsi="楷体" w:eastAsia="楷体" w:cs="楷体"/>
              <w:sz w:val="20"/>
              <w:szCs w:val="20"/>
            </w:rPr>
            <w:t>5</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9"/>
            <w:keepNext w:val="0"/>
            <w:keepLines w:val="0"/>
            <w:pageBreakBefore w:val="0"/>
            <w:tabs>
              <w:tab w:val="right" w:leader="dot" w:pos="8306"/>
              <w:tab w:val="clear" w:pos="8296"/>
            </w:tabs>
            <w:kinsoku/>
            <w:wordWrap/>
            <w:overflowPunct/>
            <w:topLinePunct w:val="0"/>
            <w:autoSpaceDE/>
            <w:autoSpaceDN/>
            <w:bidi w:val="0"/>
            <w:adjustRightInd/>
            <w:snapToGrid/>
            <w:spacing w:line="240" w:lineRule="exact"/>
            <w:textAlignment w:val="auto"/>
            <w:rPr>
              <w:rFonts w:hint="eastAsia" w:ascii="黑体" w:hAnsi="黑体" w:eastAsia="黑体" w:cs="黑体"/>
              <w:b/>
              <w:bCs/>
              <w:sz w:val="20"/>
              <w:szCs w:val="20"/>
            </w:rPr>
          </w:pP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HYPERLINK \l _Toc30478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shd w:val="clear" w:color="auto" w:fill="FFFFFF" w:themeFill="background1"/>
            </w:rPr>
            <w:t>三、绩效情况分析</w:t>
          </w:r>
          <w:r>
            <w:rPr>
              <w:rFonts w:hint="eastAsia" w:ascii="黑体" w:hAnsi="黑体" w:eastAsia="黑体" w:cs="黑体"/>
              <w:b/>
              <w:bCs/>
              <w:sz w:val="20"/>
              <w:szCs w:val="20"/>
            </w:rPr>
            <w:tab/>
          </w: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PAGEREF _Toc30478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rPr>
            <w:t>5</w:t>
          </w:r>
          <w:r>
            <w:rPr>
              <w:rFonts w:hint="eastAsia" w:ascii="黑体" w:hAnsi="黑体" w:eastAsia="黑体" w:cs="黑体"/>
              <w:b/>
              <w:bCs/>
              <w:sz w:val="20"/>
              <w:szCs w:val="20"/>
            </w:rPr>
            <w:fldChar w:fldCharType="end"/>
          </w:r>
          <w:r>
            <w:rPr>
              <w:rFonts w:hint="eastAsia" w:ascii="黑体" w:hAnsi="黑体" w:eastAsia="黑体" w:cs="黑体"/>
              <w:b/>
              <w:bCs/>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_Toc22208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（一）项目投入</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_Toc22208 </w:instrText>
          </w:r>
          <w:r>
            <w:rPr>
              <w:rFonts w:hint="eastAsia" w:ascii="楷体" w:hAnsi="楷体" w:eastAsia="楷体" w:cs="楷体"/>
              <w:sz w:val="20"/>
              <w:szCs w:val="20"/>
            </w:rPr>
            <w:fldChar w:fldCharType="separate"/>
          </w:r>
          <w:r>
            <w:rPr>
              <w:rFonts w:hint="eastAsia" w:ascii="楷体" w:hAnsi="楷体" w:eastAsia="楷体" w:cs="楷体"/>
              <w:sz w:val="20"/>
              <w:szCs w:val="20"/>
            </w:rPr>
            <w:t>6</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_Toc30518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（二）项目过程</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_Toc30518 </w:instrText>
          </w:r>
          <w:r>
            <w:rPr>
              <w:rFonts w:hint="eastAsia" w:ascii="楷体" w:hAnsi="楷体" w:eastAsia="楷体" w:cs="楷体"/>
              <w:sz w:val="20"/>
              <w:szCs w:val="20"/>
            </w:rPr>
            <w:fldChar w:fldCharType="separate"/>
          </w:r>
          <w:r>
            <w:rPr>
              <w:rFonts w:hint="eastAsia" w:ascii="楷体" w:hAnsi="楷体" w:eastAsia="楷体" w:cs="楷体"/>
              <w:sz w:val="20"/>
              <w:szCs w:val="20"/>
            </w:rPr>
            <w:t>8</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_Toc16545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（三）项目产出</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_Toc16545 </w:instrText>
          </w:r>
          <w:r>
            <w:rPr>
              <w:rFonts w:hint="eastAsia" w:ascii="楷体" w:hAnsi="楷体" w:eastAsia="楷体" w:cs="楷体"/>
              <w:sz w:val="20"/>
              <w:szCs w:val="20"/>
            </w:rPr>
            <w:fldChar w:fldCharType="separate"/>
          </w:r>
          <w:r>
            <w:rPr>
              <w:rFonts w:hint="eastAsia" w:ascii="楷体" w:hAnsi="楷体" w:eastAsia="楷体" w:cs="楷体"/>
              <w:sz w:val="20"/>
              <w:szCs w:val="20"/>
            </w:rPr>
            <w:t>13</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_Toc26537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（四）项目效益</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_Toc26537 </w:instrText>
          </w:r>
          <w:r>
            <w:rPr>
              <w:rFonts w:hint="eastAsia" w:ascii="楷体" w:hAnsi="楷体" w:eastAsia="楷体" w:cs="楷体"/>
              <w:sz w:val="20"/>
              <w:szCs w:val="20"/>
            </w:rPr>
            <w:fldChar w:fldCharType="separate"/>
          </w:r>
          <w:r>
            <w:rPr>
              <w:rFonts w:hint="eastAsia" w:ascii="楷体" w:hAnsi="楷体" w:eastAsia="楷体" w:cs="楷体"/>
              <w:sz w:val="20"/>
              <w:szCs w:val="20"/>
            </w:rPr>
            <w:t>16</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9"/>
            <w:keepNext w:val="0"/>
            <w:keepLines w:val="0"/>
            <w:pageBreakBefore w:val="0"/>
            <w:tabs>
              <w:tab w:val="right" w:leader="dot" w:pos="8306"/>
              <w:tab w:val="clear" w:pos="8296"/>
            </w:tabs>
            <w:kinsoku/>
            <w:wordWrap/>
            <w:overflowPunct/>
            <w:topLinePunct w:val="0"/>
            <w:autoSpaceDE/>
            <w:autoSpaceDN/>
            <w:bidi w:val="0"/>
            <w:adjustRightInd/>
            <w:snapToGrid/>
            <w:spacing w:line="240" w:lineRule="exact"/>
            <w:textAlignment w:val="auto"/>
          </w:pP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HYPERLINK \l _Toc7592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shd w:val="clear" w:color="auto" w:fill="FFFFFF" w:themeFill="background1"/>
            </w:rPr>
            <w:t>四、绩效评分结论</w:t>
          </w:r>
          <w:r>
            <w:rPr>
              <w:rFonts w:hint="eastAsia" w:ascii="黑体" w:hAnsi="黑体" w:eastAsia="黑体" w:cs="黑体"/>
              <w:b/>
              <w:bCs/>
              <w:sz w:val="20"/>
              <w:szCs w:val="20"/>
            </w:rPr>
            <w:tab/>
          </w: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PAGEREF _Toc7592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rPr>
            <w:t>19</w:t>
          </w:r>
          <w:r>
            <w:rPr>
              <w:rFonts w:hint="eastAsia" w:ascii="黑体" w:hAnsi="黑体" w:eastAsia="黑体" w:cs="黑体"/>
              <w:b/>
              <w:bCs/>
              <w:sz w:val="20"/>
              <w:szCs w:val="20"/>
            </w:rPr>
            <w:fldChar w:fldCharType="end"/>
          </w:r>
          <w:r>
            <w:rPr>
              <w:rFonts w:hint="eastAsia" w:ascii="黑体" w:hAnsi="黑体" w:eastAsia="黑体" w:cs="黑体"/>
              <w:b/>
              <w:bCs/>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_Toc7063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（一）评分情况</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_Toc7063 </w:instrText>
          </w:r>
          <w:r>
            <w:rPr>
              <w:rFonts w:hint="eastAsia" w:ascii="楷体" w:hAnsi="楷体" w:eastAsia="楷体" w:cs="楷体"/>
              <w:sz w:val="20"/>
              <w:szCs w:val="20"/>
            </w:rPr>
            <w:fldChar w:fldCharType="separate"/>
          </w:r>
          <w:r>
            <w:rPr>
              <w:rFonts w:hint="eastAsia" w:ascii="楷体" w:hAnsi="楷体" w:eastAsia="楷体" w:cs="楷体"/>
              <w:sz w:val="20"/>
              <w:szCs w:val="20"/>
            </w:rPr>
            <w:t>19</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_Toc7796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（二）综合结论</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_Toc7796 </w:instrText>
          </w:r>
          <w:r>
            <w:rPr>
              <w:rFonts w:hint="eastAsia" w:ascii="楷体" w:hAnsi="楷体" w:eastAsia="楷体" w:cs="楷体"/>
              <w:sz w:val="20"/>
              <w:szCs w:val="20"/>
            </w:rPr>
            <w:fldChar w:fldCharType="separate"/>
          </w:r>
          <w:r>
            <w:rPr>
              <w:rFonts w:hint="eastAsia" w:ascii="楷体" w:hAnsi="楷体" w:eastAsia="楷体" w:cs="楷体"/>
              <w:sz w:val="20"/>
              <w:szCs w:val="20"/>
            </w:rPr>
            <w:t>19</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9"/>
            <w:keepNext w:val="0"/>
            <w:keepLines w:val="0"/>
            <w:pageBreakBefore w:val="0"/>
            <w:tabs>
              <w:tab w:val="right" w:leader="dot" w:pos="8306"/>
              <w:tab w:val="clear" w:pos="8296"/>
            </w:tabs>
            <w:kinsoku/>
            <w:wordWrap/>
            <w:overflowPunct/>
            <w:topLinePunct w:val="0"/>
            <w:autoSpaceDE/>
            <w:autoSpaceDN/>
            <w:bidi w:val="0"/>
            <w:adjustRightInd/>
            <w:snapToGrid/>
            <w:spacing w:line="240" w:lineRule="exact"/>
            <w:textAlignment w:val="auto"/>
          </w:pP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HYPERLINK \l _Toc19086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shd w:val="clear" w:color="auto" w:fill="FFFFFF" w:themeFill="background1"/>
            </w:rPr>
            <w:t>五、存在的问题和不足</w:t>
          </w:r>
          <w:r>
            <w:rPr>
              <w:rFonts w:hint="eastAsia" w:ascii="黑体" w:hAnsi="黑体" w:eastAsia="黑体" w:cs="黑体"/>
              <w:b/>
              <w:bCs/>
              <w:sz w:val="20"/>
              <w:szCs w:val="20"/>
            </w:rPr>
            <w:tab/>
          </w: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PAGEREF _Toc19086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rPr>
            <w:t>20</w:t>
          </w:r>
          <w:r>
            <w:rPr>
              <w:rFonts w:hint="eastAsia" w:ascii="黑体" w:hAnsi="黑体" w:eastAsia="黑体" w:cs="黑体"/>
              <w:b/>
              <w:bCs/>
              <w:sz w:val="20"/>
              <w:szCs w:val="20"/>
            </w:rPr>
            <w:fldChar w:fldCharType="end"/>
          </w:r>
          <w:r>
            <w:rPr>
              <w:rFonts w:hint="eastAsia" w:ascii="黑体" w:hAnsi="黑体" w:eastAsia="黑体" w:cs="黑体"/>
              <w:b/>
              <w:bCs/>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_Toc26659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（一）暂未编制</w:t>
          </w:r>
          <w:r>
            <w:rPr>
              <w:rFonts w:hint="eastAsia" w:ascii="楷体" w:hAnsi="楷体" w:eastAsia="楷体" w:cs="楷体"/>
              <w:sz w:val="20"/>
              <w:szCs w:val="20"/>
              <w:shd w:val="clear" w:color="auto" w:fill="FFFFFF" w:themeFill="background1"/>
              <w:lang w:val="en-US" w:eastAsia="zh-CN"/>
            </w:rPr>
            <w:t>具体</w:t>
          </w:r>
          <w:r>
            <w:rPr>
              <w:rFonts w:hint="eastAsia" w:ascii="楷体" w:hAnsi="楷体" w:eastAsia="楷体" w:cs="楷体"/>
              <w:sz w:val="20"/>
              <w:szCs w:val="20"/>
              <w:shd w:val="clear" w:color="auto" w:fill="FFFFFF" w:themeFill="background1"/>
            </w:rPr>
            <w:t>绩效目标，绩效目标管理不完善</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_Toc26659 </w:instrText>
          </w:r>
          <w:r>
            <w:rPr>
              <w:rFonts w:hint="eastAsia" w:ascii="楷体" w:hAnsi="楷体" w:eastAsia="楷体" w:cs="楷体"/>
              <w:sz w:val="20"/>
              <w:szCs w:val="20"/>
            </w:rPr>
            <w:fldChar w:fldCharType="separate"/>
          </w:r>
          <w:r>
            <w:rPr>
              <w:rFonts w:hint="eastAsia" w:ascii="楷体" w:hAnsi="楷体" w:eastAsia="楷体" w:cs="楷体"/>
              <w:sz w:val="20"/>
              <w:szCs w:val="20"/>
            </w:rPr>
            <w:t>20</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_Toc10732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（二）财务核算不够严谨，财务凭证附件不全</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_Toc10732 </w:instrText>
          </w:r>
          <w:r>
            <w:rPr>
              <w:rFonts w:hint="eastAsia" w:ascii="楷体" w:hAnsi="楷体" w:eastAsia="楷体" w:cs="楷体"/>
              <w:sz w:val="20"/>
              <w:szCs w:val="20"/>
            </w:rPr>
            <w:fldChar w:fldCharType="separate"/>
          </w:r>
          <w:r>
            <w:rPr>
              <w:rFonts w:hint="eastAsia" w:ascii="楷体" w:hAnsi="楷体" w:eastAsia="楷体" w:cs="楷体"/>
              <w:sz w:val="20"/>
              <w:szCs w:val="20"/>
            </w:rPr>
            <w:t>20</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_Toc21606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（三）部分物资无发货随行单，入库程序管理不到位</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_Toc21606 </w:instrText>
          </w:r>
          <w:r>
            <w:rPr>
              <w:rFonts w:hint="eastAsia" w:ascii="楷体" w:hAnsi="楷体" w:eastAsia="楷体" w:cs="楷体"/>
              <w:sz w:val="20"/>
              <w:szCs w:val="20"/>
            </w:rPr>
            <w:fldChar w:fldCharType="separate"/>
          </w:r>
          <w:r>
            <w:rPr>
              <w:rFonts w:hint="eastAsia" w:ascii="楷体" w:hAnsi="楷体" w:eastAsia="楷体" w:cs="楷体"/>
              <w:sz w:val="20"/>
              <w:szCs w:val="20"/>
            </w:rPr>
            <w:t>21</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_Toc1833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（四）过程监督不到位，未组织考评、盘点程序</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_Toc1833 </w:instrText>
          </w:r>
          <w:r>
            <w:rPr>
              <w:rFonts w:hint="eastAsia" w:ascii="楷体" w:hAnsi="楷体" w:eastAsia="楷体" w:cs="楷体"/>
              <w:sz w:val="20"/>
              <w:szCs w:val="20"/>
            </w:rPr>
            <w:fldChar w:fldCharType="separate"/>
          </w:r>
          <w:r>
            <w:rPr>
              <w:rFonts w:hint="eastAsia" w:ascii="楷体" w:hAnsi="楷体" w:eastAsia="楷体" w:cs="楷体"/>
              <w:sz w:val="20"/>
              <w:szCs w:val="20"/>
            </w:rPr>
            <w:t>21</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9"/>
            <w:keepNext w:val="0"/>
            <w:keepLines w:val="0"/>
            <w:pageBreakBefore w:val="0"/>
            <w:tabs>
              <w:tab w:val="right" w:leader="dot" w:pos="8306"/>
              <w:tab w:val="clear" w:pos="8296"/>
            </w:tabs>
            <w:kinsoku/>
            <w:wordWrap/>
            <w:overflowPunct/>
            <w:topLinePunct w:val="0"/>
            <w:autoSpaceDE/>
            <w:autoSpaceDN/>
            <w:bidi w:val="0"/>
            <w:adjustRightInd/>
            <w:snapToGrid/>
            <w:spacing w:line="240" w:lineRule="exact"/>
            <w:textAlignment w:val="auto"/>
          </w:pPr>
          <w:r>
            <w:rPr>
              <w:rFonts w:hint="eastAsia" w:ascii="黑体" w:hAnsi="黑体" w:eastAsia="黑体" w:cs="黑体"/>
              <w:sz w:val="20"/>
              <w:szCs w:val="20"/>
            </w:rPr>
            <w:fldChar w:fldCharType="begin"/>
          </w:r>
          <w:r>
            <w:rPr>
              <w:rFonts w:hint="eastAsia" w:ascii="黑体" w:hAnsi="黑体" w:eastAsia="黑体" w:cs="黑体"/>
              <w:sz w:val="20"/>
              <w:szCs w:val="20"/>
            </w:rPr>
            <w:instrText xml:space="preserve"> HYPERLINK \l _Toc4924 </w:instrText>
          </w:r>
          <w:r>
            <w:rPr>
              <w:rFonts w:hint="eastAsia" w:ascii="黑体" w:hAnsi="黑体" w:eastAsia="黑体" w:cs="黑体"/>
              <w:sz w:val="20"/>
              <w:szCs w:val="20"/>
            </w:rPr>
            <w:fldChar w:fldCharType="separate"/>
          </w:r>
          <w:r>
            <w:rPr>
              <w:rFonts w:hint="eastAsia" w:ascii="黑体" w:hAnsi="黑体" w:eastAsia="黑体" w:cs="黑体"/>
              <w:sz w:val="20"/>
              <w:szCs w:val="20"/>
              <w:shd w:val="clear" w:color="auto" w:fill="FFFFFF" w:themeFill="background1"/>
            </w:rPr>
            <w:t>六、相关建议</w:t>
          </w:r>
          <w:r>
            <w:rPr>
              <w:rFonts w:hint="eastAsia" w:ascii="黑体" w:hAnsi="黑体" w:eastAsia="黑体" w:cs="黑体"/>
              <w:sz w:val="20"/>
              <w:szCs w:val="20"/>
            </w:rPr>
            <w:tab/>
          </w:r>
          <w:r>
            <w:rPr>
              <w:rFonts w:hint="eastAsia" w:ascii="黑体" w:hAnsi="黑体" w:eastAsia="黑体" w:cs="黑体"/>
              <w:sz w:val="20"/>
              <w:szCs w:val="20"/>
            </w:rPr>
            <w:fldChar w:fldCharType="begin"/>
          </w:r>
          <w:r>
            <w:rPr>
              <w:rFonts w:hint="eastAsia" w:ascii="黑体" w:hAnsi="黑体" w:eastAsia="黑体" w:cs="黑体"/>
              <w:sz w:val="20"/>
              <w:szCs w:val="20"/>
            </w:rPr>
            <w:instrText xml:space="preserve"> PAGEREF _Toc4924 </w:instrText>
          </w:r>
          <w:r>
            <w:rPr>
              <w:rFonts w:hint="eastAsia" w:ascii="黑体" w:hAnsi="黑体" w:eastAsia="黑体" w:cs="黑体"/>
              <w:sz w:val="20"/>
              <w:szCs w:val="20"/>
            </w:rPr>
            <w:fldChar w:fldCharType="separate"/>
          </w:r>
          <w:r>
            <w:rPr>
              <w:rFonts w:hint="eastAsia" w:ascii="黑体" w:hAnsi="黑体" w:eastAsia="黑体" w:cs="黑体"/>
              <w:sz w:val="20"/>
              <w:szCs w:val="20"/>
            </w:rPr>
            <w:t>22</w:t>
          </w:r>
          <w:r>
            <w:rPr>
              <w:rFonts w:hint="eastAsia" w:ascii="黑体" w:hAnsi="黑体" w:eastAsia="黑体" w:cs="黑体"/>
              <w:sz w:val="20"/>
              <w:szCs w:val="20"/>
            </w:rPr>
            <w:fldChar w:fldCharType="end"/>
          </w:r>
          <w:r>
            <w:rPr>
              <w:rFonts w:hint="eastAsia" w:ascii="黑体" w:hAnsi="黑体" w:eastAsia="黑体" w:cs="黑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_Toc4388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（一）完善</w:t>
          </w:r>
          <w:r>
            <w:rPr>
              <w:rFonts w:hint="eastAsia" w:ascii="楷体" w:hAnsi="楷体" w:eastAsia="楷体" w:cs="楷体"/>
              <w:sz w:val="20"/>
              <w:szCs w:val="20"/>
              <w:shd w:val="clear" w:color="auto" w:fill="FFFFFF" w:themeFill="background1"/>
              <w:lang w:val="en-US" w:eastAsia="zh-CN"/>
            </w:rPr>
            <w:t>具体</w:t>
          </w:r>
          <w:r>
            <w:rPr>
              <w:rFonts w:hint="eastAsia" w:ascii="楷体" w:hAnsi="楷体" w:eastAsia="楷体" w:cs="楷体"/>
              <w:sz w:val="20"/>
              <w:szCs w:val="20"/>
              <w:shd w:val="clear" w:color="auto" w:fill="FFFFFF" w:themeFill="background1"/>
            </w:rPr>
            <w:t>绩效目标编制工作，提升绩效目标管理</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_Toc4388 </w:instrText>
          </w:r>
          <w:r>
            <w:rPr>
              <w:rFonts w:hint="eastAsia" w:ascii="楷体" w:hAnsi="楷体" w:eastAsia="楷体" w:cs="楷体"/>
              <w:sz w:val="20"/>
              <w:szCs w:val="20"/>
            </w:rPr>
            <w:fldChar w:fldCharType="separate"/>
          </w:r>
          <w:r>
            <w:rPr>
              <w:rFonts w:hint="eastAsia" w:ascii="楷体" w:hAnsi="楷体" w:eastAsia="楷体" w:cs="楷体"/>
              <w:sz w:val="20"/>
              <w:szCs w:val="20"/>
            </w:rPr>
            <w:t>22</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_Toc17268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（二）加强财务核算规范性，不断提升财务管理的科学性</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_Toc17268 </w:instrText>
          </w:r>
          <w:r>
            <w:rPr>
              <w:rFonts w:hint="eastAsia" w:ascii="楷体" w:hAnsi="楷体" w:eastAsia="楷体" w:cs="楷体"/>
              <w:sz w:val="20"/>
              <w:szCs w:val="20"/>
            </w:rPr>
            <w:fldChar w:fldCharType="separate"/>
          </w:r>
          <w:r>
            <w:rPr>
              <w:rFonts w:hint="eastAsia" w:ascii="楷体" w:hAnsi="楷体" w:eastAsia="楷体" w:cs="楷体"/>
              <w:sz w:val="20"/>
              <w:szCs w:val="20"/>
            </w:rPr>
            <w:t>22</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_Toc12565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（三）规范操作流程，加强物资入库管理</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_Toc12565 </w:instrText>
          </w:r>
          <w:r>
            <w:rPr>
              <w:rFonts w:hint="eastAsia" w:ascii="楷体" w:hAnsi="楷体" w:eastAsia="楷体" w:cs="楷体"/>
              <w:sz w:val="20"/>
              <w:szCs w:val="20"/>
            </w:rPr>
            <w:fldChar w:fldCharType="separate"/>
          </w:r>
          <w:r>
            <w:rPr>
              <w:rFonts w:hint="eastAsia" w:ascii="楷体" w:hAnsi="楷体" w:eastAsia="楷体" w:cs="楷体"/>
              <w:sz w:val="20"/>
              <w:szCs w:val="20"/>
            </w:rPr>
            <w:t>22</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line="240" w:lineRule="exact"/>
            <w:textAlignment w:val="auto"/>
            <w:rPr>
              <w:rFonts w:hint="eastAsia" w:ascii="楷体" w:hAnsi="楷体" w:eastAsia="楷体" w:cs="楷体"/>
              <w:sz w:val="20"/>
              <w:szCs w:val="20"/>
            </w:rPr>
          </w:pP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HYPERLINK \l _Toc113 </w:instrText>
          </w:r>
          <w:r>
            <w:rPr>
              <w:rFonts w:hint="eastAsia" w:ascii="楷体" w:hAnsi="楷体" w:eastAsia="楷体" w:cs="楷体"/>
              <w:sz w:val="20"/>
              <w:szCs w:val="20"/>
            </w:rPr>
            <w:fldChar w:fldCharType="separate"/>
          </w:r>
          <w:r>
            <w:rPr>
              <w:rFonts w:hint="eastAsia" w:ascii="楷体" w:hAnsi="楷体" w:eastAsia="楷体" w:cs="楷体"/>
              <w:sz w:val="20"/>
              <w:szCs w:val="20"/>
              <w:shd w:val="clear" w:color="auto" w:fill="FFFFFF" w:themeFill="background1"/>
            </w:rPr>
            <w:t>（四）实施考评、盘点程序，完善过程监督</w:t>
          </w:r>
          <w:r>
            <w:rPr>
              <w:rFonts w:hint="eastAsia" w:ascii="楷体" w:hAnsi="楷体" w:eastAsia="楷体" w:cs="楷体"/>
              <w:sz w:val="20"/>
              <w:szCs w:val="20"/>
            </w:rPr>
            <w:tab/>
          </w:r>
          <w:r>
            <w:rPr>
              <w:rFonts w:hint="eastAsia" w:ascii="楷体" w:hAnsi="楷体" w:eastAsia="楷体" w:cs="楷体"/>
              <w:sz w:val="20"/>
              <w:szCs w:val="20"/>
            </w:rPr>
            <w:fldChar w:fldCharType="begin"/>
          </w:r>
          <w:r>
            <w:rPr>
              <w:rFonts w:hint="eastAsia" w:ascii="楷体" w:hAnsi="楷体" w:eastAsia="楷体" w:cs="楷体"/>
              <w:sz w:val="20"/>
              <w:szCs w:val="20"/>
            </w:rPr>
            <w:instrText xml:space="preserve"> PAGEREF _Toc113 </w:instrText>
          </w:r>
          <w:r>
            <w:rPr>
              <w:rFonts w:hint="eastAsia" w:ascii="楷体" w:hAnsi="楷体" w:eastAsia="楷体" w:cs="楷体"/>
              <w:sz w:val="20"/>
              <w:szCs w:val="20"/>
            </w:rPr>
            <w:fldChar w:fldCharType="separate"/>
          </w:r>
          <w:r>
            <w:rPr>
              <w:rFonts w:hint="eastAsia" w:ascii="楷体" w:hAnsi="楷体" w:eastAsia="楷体" w:cs="楷体"/>
              <w:sz w:val="20"/>
              <w:szCs w:val="20"/>
            </w:rPr>
            <w:t>23</w:t>
          </w:r>
          <w:r>
            <w:rPr>
              <w:rFonts w:hint="eastAsia" w:ascii="楷体" w:hAnsi="楷体" w:eastAsia="楷体" w:cs="楷体"/>
              <w:sz w:val="20"/>
              <w:szCs w:val="20"/>
            </w:rPr>
            <w:fldChar w:fldCharType="end"/>
          </w:r>
          <w:r>
            <w:rPr>
              <w:rFonts w:hint="eastAsia" w:ascii="楷体" w:hAnsi="楷体" w:eastAsia="楷体" w:cs="楷体"/>
              <w:sz w:val="20"/>
              <w:szCs w:val="20"/>
            </w:rPr>
            <w:fldChar w:fldCharType="end"/>
          </w:r>
        </w:p>
        <w:p>
          <w:pPr>
            <w:pStyle w:val="9"/>
            <w:keepNext w:val="0"/>
            <w:keepLines w:val="0"/>
            <w:pageBreakBefore w:val="0"/>
            <w:tabs>
              <w:tab w:val="right" w:leader="dot" w:pos="8306"/>
              <w:tab w:val="clear" w:pos="8296"/>
            </w:tabs>
            <w:kinsoku/>
            <w:wordWrap/>
            <w:overflowPunct/>
            <w:topLinePunct w:val="0"/>
            <w:autoSpaceDE/>
            <w:autoSpaceDN/>
            <w:bidi w:val="0"/>
            <w:adjustRightInd/>
            <w:snapToGrid/>
            <w:spacing w:line="240" w:lineRule="exact"/>
            <w:textAlignment w:val="auto"/>
            <w:rPr>
              <w:rFonts w:hint="eastAsia" w:ascii="黑体" w:hAnsi="黑体" w:eastAsia="黑体" w:cs="黑体"/>
              <w:b/>
              <w:bCs/>
              <w:sz w:val="20"/>
              <w:szCs w:val="20"/>
            </w:rPr>
          </w:pP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HYPERLINK \l _Toc6099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shd w:val="clear" w:color="auto" w:fill="FFFFFF" w:themeFill="background1"/>
            </w:rPr>
            <w:t>七、其他事项说明</w:t>
          </w:r>
          <w:r>
            <w:rPr>
              <w:rFonts w:hint="eastAsia" w:ascii="黑体" w:hAnsi="黑体" w:eastAsia="黑体" w:cs="黑体"/>
              <w:b/>
              <w:bCs/>
              <w:sz w:val="20"/>
              <w:szCs w:val="20"/>
            </w:rPr>
            <w:tab/>
          </w:r>
          <w:r>
            <w:rPr>
              <w:rFonts w:hint="eastAsia" w:ascii="黑体" w:hAnsi="黑体" w:eastAsia="黑体" w:cs="黑体"/>
              <w:b/>
              <w:bCs/>
              <w:sz w:val="20"/>
              <w:szCs w:val="20"/>
            </w:rPr>
            <w:fldChar w:fldCharType="begin"/>
          </w:r>
          <w:r>
            <w:rPr>
              <w:rFonts w:hint="eastAsia" w:ascii="黑体" w:hAnsi="黑体" w:eastAsia="黑体" w:cs="黑体"/>
              <w:b/>
              <w:bCs/>
              <w:sz w:val="20"/>
              <w:szCs w:val="20"/>
            </w:rPr>
            <w:instrText xml:space="preserve"> PAGEREF _Toc6099 </w:instrText>
          </w:r>
          <w:r>
            <w:rPr>
              <w:rFonts w:hint="eastAsia" w:ascii="黑体" w:hAnsi="黑体" w:eastAsia="黑体" w:cs="黑体"/>
              <w:b/>
              <w:bCs/>
              <w:sz w:val="20"/>
              <w:szCs w:val="20"/>
            </w:rPr>
            <w:fldChar w:fldCharType="separate"/>
          </w:r>
          <w:r>
            <w:rPr>
              <w:rFonts w:hint="eastAsia" w:ascii="黑体" w:hAnsi="黑体" w:eastAsia="黑体" w:cs="黑体"/>
              <w:b/>
              <w:bCs/>
              <w:sz w:val="20"/>
              <w:szCs w:val="20"/>
            </w:rPr>
            <w:t>23</w:t>
          </w:r>
          <w:r>
            <w:rPr>
              <w:rFonts w:hint="eastAsia" w:ascii="黑体" w:hAnsi="黑体" w:eastAsia="黑体" w:cs="黑体"/>
              <w:b/>
              <w:bCs/>
              <w:sz w:val="20"/>
              <w:szCs w:val="20"/>
            </w:rPr>
            <w:fldChar w:fldCharType="end"/>
          </w:r>
          <w:r>
            <w:rPr>
              <w:rFonts w:hint="eastAsia" w:ascii="黑体" w:hAnsi="黑体" w:eastAsia="黑体" w:cs="黑体"/>
              <w:b/>
              <w:bCs/>
              <w:sz w:val="20"/>
              <w:szCs w:val="20"/>
            </w:rPr>
            <w:fldChar w:fldCharType="end"/>
          </w:r>
        </w:p>
        <w:p>
          <w:pPr>
            <w:keepNext w:val="0"/>
            <w:keepLines w:val="0"/>
            <w:pageBreakBefore w:val="0"/>
            <w:kinsoku/>
            <w:wordWrap/>
            <w:overflowPunct/>
            <w:topLinePunct w:val="0"/>
            <w:autoSpaceDE/>
            <w:autoSpaceDN/>
            <w:bidi w:val="0"/>
            <w:adjustRightInd/>
            <w:snapToGrid/>
            <w:spacing w:line="240" w:lineRule="exact"/>
            <w:textAlignment w:val="auto"/>
          </w:pPr>
          <w:r>
            <w:rPr>
              <w:rFonts w:ascii="楷体" w:hAnsi="楷体" w:eastAsia="楷体"/>
            </w:rPr>
            <w:fldChar w:fldCharType="end"/>
          </w:r>
        </w:p>
      </w:sdtContent>
    </w:sdt>
    <w:bookmarkEnd w:id="0"/>
    <w:p>
      <w:pPr>
        <w:overflowPunct w:val="0"/>
        <w:spacing w:before="340" w:after="330"/>
        <w:jc w:val="center"/>
        <w:outlineLvl w:val="0"/>
        <w:rPr>
          <w:rFonts w:hint="eastAsia" w:ascii="宋体" w:hAnsi="宋体" w:eastAsia="宋体" w:cs="宋体"/>
          <w:b/>
          <w:bCs/>
          <w:sz w:val="44"/>
          <w:szCs w:val="44"/>
          <w:shd w:val="clear" w:color="auto" w:fill="FFFFFF" w:themeFill="background1"/>
        </w:rPr>
        <w:sectPr>
          <w:headerReference r:id="rId3" w:type="default"/>
          <w:footerReference r:id="rId4" w:type="default"/>
          <w:pgSz w:w="11906" w:h="16838"/>
          <w:pgMar w:top="1440" w:right="1800" w:bottom="1440" w:left="1800" w:header="851" w:footer="992" w:gutter="0"/>
          <w:pgNumType w:fmt="lowerRoman" w:start="1"/>
          <w:cols w:space="425" w:num="1"/>
          <w:docGrid w:type="lines" w:linePitch="312" w:charSpace="0"/>
        </w:sectPr>
      </w:pPr>
      <w:bookmarkStart w:id="1" w:name="_Toc30503"/>
      <w:bookmarkEnd w:id="1"/>
      <w:bookmarkStart w:id="2" w:name="_Toc15375"/>
      <w:bookmarkStart w:id="3" w:name="_Toc4353"/>
      <w:bookmarkStart w:id="4" w:name="_Toc14446"/>
      <w:bookmarkStart w:id="5" w:name="_Toc42518784"/>
    </w:p>
    <w:p>
      <w:pPr>
        <w:overflowPunct w:val="0"/>
        <w:spacing w:before="340" w:after="330"/>
        <w:jc w:val="center"/>
        <w:outlineLvl w:val="0"/>
        <w:rPr>
          <w:rFonts w:ascii="宋体" w:hAnsi="宋体" w:eastAsia="宋体" w:cs="宋体"/>
          <w:b/>
          <w:bCs/>
          <w:sz w:val="44"/>
          <w:szCs w:val="44"/>
          <w:shd w:val="clear" w:color="auto" w:fill="FFFFFF" w:themeFill="background1"/>
        </w:rPr>
      </w:pPr>
      <w:r>
        <w:rPr>
          <w:rFonts w:hint="eastAsia" w:ascii="宋体" w:hAnsi="宋体" w:eastAsia="宋体" w:cs="宋体"/>
          <w:b/>
          <w:bCs/>
          <w:sz w:val="44"/>
          <w:szCs w:val="44"/>
          <w:shd w:val="clear" w:color="auto" w:fill="FFFFFF" w:themeFill="background1"/>
        </w:rPr>
        <w:t>摘要</w:t>
      </w:r>
      <w:bookmarkEnd w:id="2"/>
      <w:bookmarkStart w:id="6" w:name="_Toc30068"/>
    </w:p>
    <w:p>
      <w:pPr>
        <w:overflowPunct w:val="0"/>
        <w:spacing w:line="580" w:lineRule="exact"/>
        <w:ind w:firstLine="632"/>
        <w:rPr>
          <w:rFonts w:ascii="黑体" w:hAnsi="黑体" w:eastAsia="黑体"/>
          <w:szCs w:val="30"/>
          <w:shd w:val="clear" w:color="auto" w:fill="FFFFFF" w:themeFill="background1"/>
        </w:rPr>
      </w:pPr>
      <w:r>
        <w:rPr>
          <w:rFonts w:hint="eastAsia"/>
          <w:szCs w:val="30"/>
        </w:rPr>
        <w:t>为加强</w:t>
      </w:r>
      <w:bookmarkStart w:id="7" w:name="_Hlk45267260"/>
      <w:r>
        <w:rPr>
          <w:rFonts w:hint="eastAsia"/>
          <w:szCs w:val="30"/>
        </w:rPr>
        <w:t>政府购买服务资金</w:t>
      </w:r>
      <w:bookmarkEnd w:id="7"/>
      <w:r>
        <w:rPr>
          <w:rFonts w:hint="eastAsia"/>
          <w:szCs w:val="30"/>
        </w:rPr>
        <w:t>的管理，切实提高政府购买服务的使用效益，梁平区财政局委托云南云岭工程造价咨询有限公司对梁平区2020年安排防疫物资采购项目进行了绩效评价。现将评价情况摘要如下：</w:t>
      </w:r>
    </w:p>
    <w:p>
      <w:pPr>
        <w:spacing w:line="580" w:lineRule="exact"/>
        <w:ind w:firstLine="600" w:firstLineChars="200"/>
        <w:jc w:val="left"/>
        <w:rPr>
          <w:rFonts w:ascii="黑体" w:hAnsi="黑体" w:eastAsia="黑体"/>
          <w:szCs w:val="30"/>
          <w:shd w:val="clear" w:color="auto" w:fill="FFFFFF" w:themeFill="background1"/>
        </w:rPr>
      </w:pPr>
      <w:r>
        <w:rPr>
          <w:rFonts w:hint="eastAsia" w:ascii="黑体" w:hAnsi="黑体" w:eastAsia="黑体"/>
          <w:szCs w:val="30"/>
          <w:shd w:val="clear" w:color="auto" w:fill="FFFFFF" w:themeFill="background1"/>
        </w:rPr>
        <w:t>一、项目基本情况</w:t>
      </w:r>
      <w:bookmarkEnd w:id="6"/>
    </w:p>
    <w:p>
      <w:pPr>
        <w:spacing w:line="580" w:lineRule="exact"/>
        <w:ind w:firstLine="600" w:firstLineChars="200"/>
        <w:jc w:val="left"/>
        <w:rPr>
          <w:rFonts w:cs="Arial"/>
          <w:szCs w:val="30"/>
        </w:rPr>
      </w:pPr>
      <w:r>
        <w:rPr>
          <w:rFonts w:hint="eastAsia" w:cs="Arial"/>
          <w:szCs w:val="30"/>
        </w:rPr>
        <w:t>（一）项目名称：</w:t>
      </w:r>
      <w:r>
        <w:rPr>
          <w:rFonts w:hint="eastAsia"/>
          <w:szCs w:val="30"/>
        </w:rPr>
        <w:t>梁平区2020年安排防疫物资采购项目</w:t>
      </w:r>
      <w:r>
        <w:rPr>
          <w:rFonts w:hint="eastAsia" w:cs="Arial"/>
          <w:szCs w:val="30"/>
        </w:rPr>
        <w:t>（以下简称“</w:t>
      </w:r>
      <w:r>
        <w:rPr>
          <w:rFonts w:hint="eastAsia"/>
          <w:szCs w:val="30"/>
        </w:rPr>
        <w:t>防疫物资采购项目</w:t>
      </w:r>
      <w:r>
        <w:rPr>
          <w:rFonts w:hint="eastAsia" w:cs="Arial"/>
          <w:szCs w:val="30"/>
        </w:rPr>
        <w:t>”）。</w:t>
      </w:r>
    </w:p>
    <w:p>
      <w:pPr>
        <w:spacing w:line="580" w:lineRule="exact"/>
        <w:ind w:firstLine="600" w:firstLineChars="200"/>
        <w:jc w:val="left"/>
        <w:rPr>
          <w:rFonts w:cs="Arial"/>
          <w:szCs w:val="30"/>
        </w:rPr>
      </w:pPr>
      <w:r>
        <w:rPr>
          <w:rFonts w:hint="eastAsia" w:cs="Arial"/>
          <w:szCs w:val="30"/>
        </w:rPr>
        <w:t>（二）主管单位：</w:t>
      </w:r>
      <w:r>
        <w:rPr>
          <w:rFonts w:hint="eastAsia"/>
          <w:szCs w:val="30"/>
        </w:rPr>
        <w:t>重庆市梁平区经济和信息化委员会（以下简称“区经信委”）。</w:t>
      </w:r>
    </w:p>
    <w:p>
      <w:pPr>
        <w:tabs>
          <w:tab w:val="left" w:pos="312"/>
        </w:tabs>
        <w:spacing w:line="580" w:lineRule="exact"/>
        <w:ind w:firstLine="600" w:firstLineChars="200"/>
        <w:jc w:val="left"/>
        <w:rPr>
          <w:rFonts w:cs="Arial"/>
          <w:szCs w:val="30"/>
        </w:rPr>
      </w:pPr>
      <w:r>
        <w:rPr>
          <w:rFonts w:hint="eastAsia" w:cs="Arial"/>
          <w:szCs w:val="30"/>
        </w:rPr>
        <w:t>（三）项目实施内容：</w:t>
      </w:r>
    </w:p>
    <w:p>
      <w:pPr>
        <w:spacing w:line="580" w:lineRule="exact"/>
        <w:ind w:firstLine="600" w:firstLineChars="200"/>
        <w:jc w:val="left"/>
        <w:rPr>
          <w:rFonts w:cs="Arial"/>
          <w:szCs w:val="30"/>
        </w:rPr>
      </w:pPr>
      <w:r>
        <w:rPr>
          <w:rFonts w:hint="eastAsia" w:cs="Arial"/>
          <w:szCs w:val="30"/>
        </w:rPr>
        <w:t>梁平区2020年安排防疫物资采购项目的资金主要用于紧急处置新型冠状病毒感染的肺炎疫情所需的口罩、消毒用品、防护服、手套以及手持测温仪等物资。</w:t>
      </w:r>
    </w:p>
    <w:p>
      <w:pPr>
        <w:spacing w:line="580" w:lineRule="exact"/>
        <w:ind w:firstLine="600" w:firstLineChars="200"/>
        <w:jc w:val="left"/>
        <w:rPr>
          <w:rFonts w:cs="Arial"/>
          <w:szCs w:val="30"/>
        </w:rPr>
      </w:pPr>
      <w:r>
        <w:rPr>
          <w:rFonts w:hint="eastAsia" w:cs="Arial"/>
          <w:szCs w:val="30"/>
        </w:rPr>
        <w:t>（四）项目经费预算：</w:t>
      </w:r>
    </w:p>
    <w:p>
      <w:pPr>
        <w:spacing w:line="580" w:lineRule="exact"/>
        <w:ind w:firstLine="600" w:firstLineChars="200"/>
        <w:jc w:val="both"/>
        <w:rPr>
          <w:rFonts w:hint="default" w:eastAsia="仿宋" w:cs="Arial"/>
          <w:szCs w:val="30"/>
          <w:highlight w:val="none"/>
          <w:lang w:val="en-US" w:eastAsia="zh-CN"/>
        </w:rPr>
      </w:pPr>
      <w:r>
        <w:rPr>
          <w:rFonts w:hint="eastAsia" w:cs="Arial"/>
          <w:szCs w:val="30"/>
          <w:highlight w:val="none"/>
        </w:rPr>
        <w:t>梁平区2020年安排防疫物资采购项目预算金额共计600.00万元，根据《重庆市梁平区财政局关于下达2020年抗疫特别国债资金的通知》（梁平财发〔2020〕351号）文件，确认拨付600.00万元。</w:t>
      </w:r>
      <w:r>
        <w:rPr>
          <w:rFonts w:hint="eastAsia" w:cs="Arial"/>
          <w:szCs w:val="30"/>
          <w:highlight w:val="none"/>
          <w:lang w:val="en-US" w:eastAsia="zh-CN"/>
        </w:rPr>
        <w:t>但后续经区十七届人大常委会第36次会议审议，对</w:t>
      </w:r>
      <w:r>
        <w:rPr>
          <w:rFonts w:hint="eastAsia" w:cs="Arial"/>
          <w:szCs w:val="30"/>
          <w:highlight w:val="none"/>
        </w:rPr>
        <w:t>防疫物资采购项目</w:t>
      </w:r>
      <w:r>
        <w:rPr>
          <w:rFonts w:hint="eastAsia" w:cs="Arial"/>
          <w:szCs w:val="30"/>
          <w:highlight w:val="none"/>
          <w:lang w:val="en-US" w:eastAsia="zh-CN"/>
        </w:rPr>
        <w:t>安排的</w:t>
      </w:r>
      <w:r>
        <w:rPr>
          <w:rFonts w:hint="eastAsia" w:cs="Arial"/>
          <w:szCs w:val="30"/>
          <w:highlight w:val="none"/>
        </w:rPr>
        <w:t>抗疫特别国债资金</w:t>
      </w:r>
      <w:r>
        <w:rPr>
          <w:rFonts w:hint="eastAsia" w:cs="Arial"/>
          <w:szCs w:val="30"/>
          <w:highlight w:val="none"/>
          <w:lang w:val="en-US" w:eastAsia="zh-CN"/>
        </w:rPr>
        <w:t>进行</w:t>
      </w:r>
      <w:r>
        <w:rPr>
          <w:rFonts w:hint="eastAsia" w:cs="Arial"/>
          <w:szCs w:val="30"/>
          <w:highlight w:val="none"/>
        </w:rPr>
        <w:t>调整</w:t>
      </w:r>
      <w:r>
        <w:rPr>
          <w:rFonts w:hint="eastAsia" w:cs="Arial"/>
          <w:szCs w:val="30"/>
          <w:highlight w:val="none"/>
          <w:lang w:val="en-US" w:eastAsia="zh-CN"/>
        </w:rPr>
        <w:t>，并根据</w:t>
      </w:r>
      <w:r>
        <w:rPr>
          <w:rFonts w:hint="eastAsia" w:cs="Arial"/>
          <w:szCs w:val="30"/>
          <w:highlight w:val="none"/>
          <w:lang w:eastAsia="zh-CN"/>
        </w:rPr>
        <w:t>《</w:t>
      </w:r>
      <w:r>
        <w:rPr>
          <w:rFonts w:hint="eastAsia" w:cs="Arial"/>
          <w:szCs w:val="30"/>
          <w:highlight w:val="none"/>
        </w:rPr>
        <w:t>重庆市梁平区财政局关于下达2020年部分抗疫特别国债资金调整使用计划的通知</w:t>
      </w:r>
      <w:r>
        <w:rPr>
          <w:rFonts w:hint="eastAsia" w:cs="Arial"/>
          <w:szCs w:val="30"/>
          <w:highlight w:val="none"/>
          <w:lang w:eastAsia="zh-CN"/>
        </w:rPr>
        <w:t>》</w:t>
      </w:r>
      <w:r>
        <w:rPr>
          <w:rFonts w:hint="eastAsia" w:cs="Arial"/>
          <w:szCs w:val="30"/>
          <w:highlight w:val="none"/>
        </w:rPr>
        <w:t>（梁平财发〔2020〕</w:t>
      </w:r>
      <w:r>
        <w:rPr>
          <w:rFonts w:hint="eastAsia" w:cs="Arial"/>
          <w:szCs w:val="30"/>
          <w:highlight w:val="none"/>
          <w:lang w:val="en-US" w:eastAsia="zh-CN"/>
        </w:rPr>
        <w:t>855</w:t>
      </w:r>
      <w:r>
        <w:rPr>
          <w:rFonts w:hint="eastAsia" w:cs="Arial"/>
          <w:szCs w:val="30"/>
          <w:highlight w:val="none"/>
        </w:rPr>
        <w:t>号）文件</w:t>
      </w:r>
      <w:r>
        <w:rPr>
          <w:rFonts w:hint="eastAsia" w:cs="Arial"/>
          <w:szCs w:val="30"/>
          <w:highlight w:val="none"/>
          <w:lang w:val="en-US" w:eastAsia="zh-CN"/>
        </w:rPr>
        <w:t>，确认调整后金额为592.60万元。</w:t>
      </w:r>
    </w:p>
    <w:p>
      <w:pPr>
        <w:spacing w:line="580" w:lineRule="exact"/>
        <w:ind w:firstLine="600" w:firstLineChars="200"/>
        <w:jc w:val="left"/>
        <w:rPr>
          <w:rFonts w:cs="Arial"/>
          <w:szCs w:val="30"/>
        </w:rPr>
      </w:pPr>
      <w:r>
        <w:rPr>
          <w:rFonts w:hint="eastAsia" w:cs="Arial"/>
          <w:szCs w:val="30"/>
        </w:rPr>
        <w:t>（五）绩效评价范围：</w:t>
      </w:r>
    </w:p>
    <w:p>
      <w:pPr>
        <w:spacing w:line="580" w:lineRule="exact"/>
        <w:ind w:firstLine="600" w:firstLineChars="200"/>
        <w:rPr>
          <w:rFonts w:cs="Arial"/>
          <w:szCs w:val="30"/>
        </w:rPr>
      </w:pPr>
      <w:r>
        <w:rPr>
          <w:rFonts w:hint="eastAsia" w:cs="Arial"/>
          <w:szCs w:val="30"/>
        </w:rPr>
        <w:t>本次绩效评价范围为2020年安排防疫物资采购项目财政专项资金</w:t>
      </w:r>
      <w:r>
        <w:rPr>
          <w:rFonts w:hint="eastAsia" w:cs="Arial"/>
          <w:szCs w:val="30"/>
          <w:highlight w:val="none"/>
          <w:lang w:val="en-US" w:eastAsia="zh-CN"/>
        </w:rPr>
        <w:t>592.60万元</w:t>
      </w:r>
      <w:r>
        <w:rPr>
          <w:rFonts w:hint="eastAsia" w:cs="Arial"/>
          <w:szCs w:val="30"/>
        </w:rPr>
        <w:t>,且全部为债券资金。</w:t>
      </w:r>
    </w:p>
    <w:p>
      <w:pPr>
        <w:spacing w:line="580" w:lineRule="exact"/>
        <w:ind w:firstLine="600" w:firstLineChars="200"/>
        <w:jc w:val="left"/>
        <w:rPr>
          <w:rFonts w:ascii="黑体" w:hAnsi="黑体" w:eastAsia="黑体"/>
          <w:szCs w:val="30"/>
          <w:shd w:val="clear" w:color="auto" w:fill="FFFFFF" w:themeFill="background1"/>
        </w:rPr>
      </w:pPr>
      <w:bookmarkStart w:id="8" w:name="_Toc30833"/>
      <w:r>
        <w:rPr>
          <w:rFonts w:hint="eastAsia" w:ascii="黑体" w:hAnsi="黑体" w:eastAsia="黑体"/>
          <w:szCs w:val="30"/>
          <w:shd w:val="clear" w:color="auto" w:fill="FFFFFF" w:themeFill="background1"/>
        </w:rPr>
        <w:t>二、绩效评分结果</w:t>
      </w:r>
      <w:bookmarkEnd w:id="8"/>
    </w:p>
    <w:p>
      <w:pPr>
        <w:spacing w:line="580" w:lineRule="exact"/>
        <w:ind w:firstLine="600" w:firstLineChars="200"/>
      </w:pPr>
      <w:bookmarkStart w:id="9" w:name="_MON_1536732316"/>
      <w:bookmarkEnd w:id="9"/>
      <w:bookmarkStart w:id="10" w:name="_Toc2558"/>
      <w:r>
        <w:rPr>
          <w:rFonts w:hint="eastAsia"/>
        </w:rPr>
        <w:t>通过综合评价，梁平区</w:t>
      </w:r>
      <w:r>
        <w:rPr>
          <w:rFonts w:hint="eastAsia"/>
          <w:szCs w:val="30"/>
        </w:rPr>
        <w:t>2020年</w:t>
      </w:r>
      <w:r>
        <w:rPr>
          <w:rFonts w:hint="eastAsia" w:cs="Arial"/>
          <w:szCs w:val="30"/>
        </w:rPr>
        <w:t>安排防疫物资采购项目</w:t>
      </w:r>
      <w:r>
        <w:rPr>
          <w:rFonts w:hint="eastAsia"/>
        </w:rPr>
        <w:t>综合得分为9</w:t>
      </w:r>
      <w:r>
        <w:rPr>
          <w:rFonts w:hint="eastAsia"/>
          <w:lang w:val="en-US" w:eastAsia="zh-CN"/>
        </w:rPr>
        <w:t>4</w:t>
      </w:r>
      <w:r>
        <w:rPr>
          <w:rFonts w:hint="eastAsia"/>
        </w:rPr>
        <w:t>.50分，评价等级为优。具体评分情况如下:</w:t>
      </w:r>
    </w:p>
    <w:tbl>
      <w:tblPr>
        <w:tblStyle w:val="12"/>
        <w:tblW w:w="7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7"/>
        <w:gridCol w:w="2586"/>
        <w:gridCol w:w="2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587"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一级指标</w:t>
            </w:r>
          </w:p>
        </w:tc>
        <w:tc>
          <w:tcPr>
            <w:tcW w:w="2586"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标准分值</w:t>
            </w:r>
          </w:p>
        </w:tc>
        <w:tc>
          <w:tcPr>
            <w:tcW w:w="2587"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决策</w:t>
            </w:r>
          </w:p>
        </w:tc>
        <w:tc>
          <w:tcPr>
            <w:tcW w:w="2586"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20</w:t>
            </w:r>
          </w:p>
        </w:tc>
        <w:tc>
          <w:tcPr>
            <w:tcW w:w="2587" w:type="dxa"/>
            <w:vAlign w:val="center"/>
          </w:tcPr>
          <w:p>
            <w:pPr>
              <w:snapToGrid w:val="0"/>
              <w:jc w:val="center"/>
              <w:rPr>
                <w:rFonts w:hint="eastAsia" w:eastAsia="仿宋" w:cs="宋体"/>
                <w:sz w:val="24"/>
                <w:szCs w:val="24"/>
                <w:shd w:val="clear" w:color="auto" w:fill="FFFFFF" w:themeFill="background1"/>
                <w:lang w:eastAsia="zh-CN"/>
              </w:rPr>
            </w:pPr>
            <w:r>
              <w:rPr>
                <w:rFonts w:hint="eastAsia" w:cs="宋体"/>
                <w:sz w:val="24"/>
                <w:szCs w:val="24"/>
                <w:shd w:val="clear" w:color="auto" w:fill="FFFFFF" w:themeFill="background1"/>
              </w:rPr>
              <w:t>1</w:t>
            </w:r>
            <w:r>
              <w:rPr>
                <w:rFonts w:hint="eastAsia" w:cs="宋体"/>
                <w:sz w:val="24"/>
                <w:szCs w:val="24"/>
                <w:shd w:val="clear" w:color="auto" w:fill="FFFFFF" w:themeFill="background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过程</w:t>
            </w:r>
          </w:p>
        </w:tc>
        <w:tc>
          <w:tcPr>
            <w:tcW w:w="2586"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20</w:t>
            </w:r>
          </w:p>
        </w:tc>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1</w:t>
            </w:r>
            <w:r>
              <w:rPr>
                <w:rFonts w:hint="eastAsia" w:cs="宋体"/>
                <w:sz w:val="24"/>
                <w:szCs w:val="24"/>
                <w:shd w:val="clear" w:color="auto" w:fill="FFFFFF" w:themeFill="background1"/>
                <w:lang w:val="en-US" w:eastAsia="zh-CN"/>
              </w:rPr>
              <w:t>7</w:t>
            </w:r>
            <w:r>
              <w:rPr>
                <w:rFonts w:hint="eastAsia" w:cs="宋体"/>
                <w:sz w:val="24"/>
                <w:szCs w:val="24"/>
                <w:shd w:val="clear" w:color="auto" w:fill="FFFFFF" w:themeFill="background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产出</w:t>
            </w:r>
          </w:p>
        </w:tc>
        <w:tc>
          <w:tcPr>
            <w:tcW w:w="2586"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30</w:t>
            </w:r>
          </w:p>
        </w:tc>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效益</w:t>
            </w:r>
          </w:p>
        </w:tc>
        <w:tc>
          <w:tcPr>
            <w:tcW w:w="2586"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30</w:t>
            </w:r>
          </w:p>
        </w:tc>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b/>
                <w:bCs/>
                <w:sz w:val="24"/>
                <w:szCs w:val="24"/>
                <w:shd w:val="clear" w:color="auto" w:fill="FFFFFF" w:themeFill="background1"/>
              </w:rPr>
              <w:t>小   计</w:t>
            </w:r>
          </w:p>
        </w:tc>
        <w:tc>
          <w:tcPr>
            <w:tcW w:w="2586"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100</w:t>
            </w:r>
          </w:p>
        </w:tc>
        <w:tc>
          <w:tcPr>
            <w:tcW w:w="2587"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9</w:t>
            </w:r>
            <w:r>
              <w:rPr>
                <w:rFonts w:hint="eastAsia" w:cs="宋体"/>
                <w:b/>
                <w:bCs/>
                <w:sz w:val="24"/>
                <w:szCs w:val="24"/>
                <w:shd w:val="clear" w:color="auto" w:fill="FFFFFF" w:themeFill="background1"/>
                <w:lang w:val="en-US" w:eastAsia="zh-CN"/>
              </w:rPr>
              <w:t>4</w:t>
            </w:r>
            <w:r>
              <w:rPr>
                <w:rFonts w:hint="eastAsia" w:cs="宋体"/>
                <w:b/>
                <w:bCs/>
                <w:sz w:val="24"/>
                <w:szCs w:val="24"/>
                <w:shd w:val="clear" w:color="auto" w:fill="FFFFFF" w:themeFill="background1"/>
              </w:rPr>
              <w:t>.50</w:t>
            </w:r>
          </w:p>
        </w:tc>
      </w:tr>
    </w:tbl>
    <w:p>
      <w:pPr>
        <w:spacing w:line="580" w:lineRule="exact"/>
        <w:ind w:firstLine="600" w:firstLineChars="200"/>
        <w:jc w:val="left"/>
        <w:rPr>
          <w:rFonts w:ascii="黑体" w:hAnsi="黑体" w:eastAsia="黑体"/>
          <w:szCs w:val="30"/>
          <w:shd w:val="clear" w:color="auto" w:fill="FFFFFF" w:themeFill="background1"/>
        </w:rPr>
      </w:pPr>
      <w:r>
        <w:rPr>
          <w:rFonts w:hint="eastAsia" w:ascii="黑体" w:hAnsi="黑体" w:eastAsia="黑体"/>
          <w:szCs w:val="30"/>
          <w:shd w:val="clear" w:color="auto" w:fill="FFFFFF" w:themeFill="background1"/>
        </w:rPr>
        <w:t>三、综合结论</w:t>
      </w:r>
      <w:bookmarkEnd w:id="10"/>
    </w:p>
    <w:p>
      <w:pPr>
        <w:spacing w:line="580" w:lineRule="exact"/>
        <w:ind w:firstLine="600" w:firstLineChars="200"/>
        <w:jc w:val="left"/>
        <w:rPr>
          <w:rFonts w:cs="Arial"/>
          <w:szCs w:val="30"/>
        </w:rPr>
      </w:pPr>
      <w:r>
        <w:rPr>
          <w:rFonts w:hint="eastAsia" w:cs="Arial"/>
          <w:szCs w:val="30"/>
        </w:rPr>
        <w:t>通过绩效分析，综合评价认为：</w:t>
      </w:r>
    </w:p>
    <w:p>
      <w:pPr>
        <w:spacing w:line="580" w:lineRule="exact"/>
        <w:ind w:firstLine="600" w:firstLineChars="200"/>
        <w:jc w:val="left"/>
        <w:rPr>
          <w:rFonts w:cs="Arial"/>
          <w:szCs w:val="30"/>
        </w:rPr>
      </w:pPr>
      <w:r>
        <w:rPr>
          <w:rFonts w:hint="eastAsia" w:cs="Arial"/>
          <w:szCs w:val="30"/>
        </w:rPr>
        <w:t>梁平区2020年安排防疫物资采购经费项目总体来看，较好的完成了2020年项目采购计划和物资储备，为全区加强采购口罩、防护服(隔离衣)、消毒液、手持测温仪等医用物资，积极指导复工复产</w:t>
      </w:r>
      <w:r>
        <w:rPr>
          <w:rFonts w:hint="eastAsia"/>
          <w:szCs w:val="30"/>
        </w:rPr>
        <w:t>工业</w:t>
      </w:r>
      <w:r>
        <w:rPr>
          <w:rFonts w:hint="eastAsia" w:cs="Arial"/>
          <w:szCs w:val="30"/>
        </w:rPr>
        <w:t>企业科学有序开展各项防控工作，疫情防控工作取得积极成效。但还存在暂未</w:t>
      </w:r>
      <w:r>
        <w:rPr>
          <w:rFonts w:hint="eastAsia" w:cs="Arial"/>
          <w:szCs w:val="30"/>
          <w:lang w:val="en-US" w:eastAsia="zh-CN"/>
        </w:rPr>
        <w:t>编制具体</w:t>
      </w:r>
      <w:r>
        <w:rPr>
          <w:rFonts w:hint="eastAsia" w:cs="Arial"/>
          <w:szCs w:val="30"/>
        </w:rPr>
        <w:t>绩效目标，绩效目标管理不完善；财务核算不够严谨，财务凭证附件不全；部分物资无发货随行单，入库程序管理不到位；过程监督不到位，未组织考评、盘点程序等问题。</w:t>
      </w:r>
    </w:p>
    <w:p>
      <w:pPr>
        <w:spacing w:line="580" w:lineRule="exact"/>
        <w:ind w:firstLine="600" w:firstLineChars="200"/>
        <w:jc w:val="left"/>
        <w:rPr>
          <w:rFonts w:ascii="黑体" w:hAnsi="黑体" w:eastAsia="黑体"/>
          <w:szCs w:val="30"/>
          <w:shd w:val="clear" w:color="auto" w:fill="FFFFFF" w:themeFill="background1"/>
        </w:rPr>
      </w:pPr>
      <w:bookmarkStart w:id="11" w:name="_Toc13623"/>
      <w:r>
        <w:rPr>
          <w:rFonts w:hint="eastAsia" w:ascii="黑体" w:hAnsi="黑体" w:eastAsia="黑体"/>
          <w:szCs w:val="30"/>
          <w:shd w:val="clear" w:color="auto" w:fill="FFFFFF" w:themeFill="background1"/>
        </w:rPr>
        <w:t>四、存在的问题和不足</w:t>
      </w:r>
      <w:bookmarkEnd w:id="11"/>
    </w:p>
    <w:p>
      <w:pPr>
        <w:spacing w:line="580" w:lineRule="exact"/>
        <w:ind w:firstLine="600" w:firstLineChars="200"/>
        <w:rPr>
          <w:rFonts w:hint="eastAsia"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（一）暂未编制具体绩效目标，绩效目标管理不完善</w:t>
      </w:r>
    </w:p>
    <w:p>
      <w:pPr>
        <w:spacing w:line="580" w:lineRule="exact"/>
        <w:ind w:firstLine="600" w:firstLineChars="200"/>
        <w:rPr>
          <w:rFonts w:hint="eastAsia"/>
          <w:shd w:val="clear" w:color="auto" w:fill="FFFFFF" w:themeFill="background1"/>
        </w:rPr>
      </w:pPr>
      <w:r>
        <w:rPr>
          <w:rFonts w:hint="eastAsia"/>
          <w:shd w:val="clear" w:color="auto" w:fill="FFFFFF" w:themeFill="background1"/>
        </w:rPr>
        <w:t>区经信委仅有总体绩效目标，未编制防疫物资采购项目的具体绩效目标及分解相关绩效指标，系由于该项目自身的特殊性及时间的紧迫性，较多的涉及物资采购及发放管理，对具体绩效目标设置及管理较为欠缺。但根据《重庆市财政局关于印发重庆市抗疫特别国债项目绩效管理办法的通知》（渝财绩〔2020〕15号）文件，应编制绩效目标，且项目绩效目标应与预算安排相关联，反映出项目的产出效益和效果。</w:t>
      </w:r>
    </w:p>
    <w:p>
      <w:pPr>
        <w:spacing w:line="580" w:lineRule="exact"/>
        <w:ind w:firstLine="600" w:firstLineChars="200"/>
        <w:rPr>
          <w:rFonts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（二）财务核算不够严谨，财务凭证附件不全</w:t>
      </w:r>
    </w:p>
    <w:p>
      <w:pPr>
        <w:spacing w:line="580" w:lineRule="exact"/>
        <w:ind w:firstLine="600" w:firstLineChars="200"/>
        <w:rPr>
          <w:shd w:val="clear" w:color="auto" w:fill="FFFFFF" w:themeFill="background1"/>
        </w:rPr>
      </w:pPr>
      <w:r>
        <w:rPr>
          <w:rFonts w:hint="eastAsia"/>
          <w:shd w:val="clear" w:color="auto" w:fill="FFFFFF" w:themeFill="background1"/>
        </w:rPr>
        <w:t>区经信委作为本项目的实施单位，负责2020年防疫物资采购项目财务管理工作。经绩效评价小组查询相关支出财务凭证后发现，2020年3月第34号凭证和36号凭证为退回购买防疫物资货款，34号凭证退回17.03万元防疫物资货款系现金退回且后附件仅为区经信委开具的收据，36号凭证退回81.97万元防疫物资货款系银行退回81.77万元、现金退回0.20万元且后附件仅为银行收款回单。财务人员在编制相关记账凭证时，未对凭证后附件进行情况说明及未见相关领导审批意见，且退回货款为前期向不同供应商购买多批次防疫物资款，未与前期已支付货款凭证每个供应商的货款一一对应。</w:t>
      </w:r>
    </w:p>
    <w:p>
      <w:pPr>
        <w:spacing w:line="580" w:lineRule="exact"/>
        <w:ind w:firstLine="600" w:firstLineChars="200"/>
        <w:rPr>
          <w:shd w:val="clear" w:color="auto" w:fill="FFFFFF" w:themeFill="background1"/>
        </w:rPr>
      </w:pPr>
      <w:r>
        <w:rPr>
          <w:rFonts w:hint="eastAsia"/>
          <w:shd w:val="clear" w:color="auto" w:fill="FFFFFF" w:themeFill="background1"/>
        </w:rPr>
        <w:t>评价认为，虽然已建立健全专项资金管理制度加强财务管理，但仍存在财务核算工作不够严谨，相关凭证规范性有待加强的情况。</w:t>
      </w:r>
    </w:p>
    <w:p>
      <w:pPr>
        <w:spacing w:line="580" w:lineRule="exact"/>
        <w:ind w:firstLine="600" w:firstLineChars="200"/>
        <w:rPr>
          <w:rFonts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（三）部分物资无发货随行单，入库程序管理不到位</w:t>
      </w:r>
    </w:p>
    <w:p>
      <w:pPr>
        <w:spacing w:line="580" w:lineRule="exact"/>
        <w:ind w:firstLine="600" w:firstLineChars="200"/>
        <w:rPr>
          <w:shd w:val="clear" w:color="auto" w:fill="FFFFFF" w:themeFill="background1"/>
        </w:rPr>
      </w:pPr>
      <w:r>
        <w:rPr>
          <w:rFonts w:hint="eastAsia"/>
          <w:shd w:val="clear" w:color="auto" w:fill="FFFFFF" w:themeFill="background1"/>
        </w:rPr>
        <w:t>区</w:t>
      </w:r>
      <w:r>
        <w:rPr>
          <w:rFonts w:hint="eastAsia"/>
          <w:shd w:val="clear" w:color="auto" w:fill="FFFFFF" w:themeFill="background1"/>
          <w:lang w:val="en-US" w:eastAsia="zh-CN"/>
        </w:rPr>
        <w:t>经信委</w:t>
      </w:r>
      <w:r>
        <w:rPr>
          <w:rFonts w:hint="eastAsia"/>
          <w:shd w:val="clear" w:color="auto" w:fill="FFFFFF" w:themeFill="background1"/>
        </w:rPr>
        <w:t>根据梁肺炎组办发〔2020〕1号文件要求，负责除医疗物资系统外的防疫物资保障，积极协调物资采购，保障物资储备。按照《重庆市梁平区新型冠状病毒感染的肺炎疫情应急物资管理制度》进行应急物资管理，但经绩效评价小组查阅出入库明细表及入库票据等资料发现，部分防疫物资入库时并无发货随行单，不利于接货人员和复核人员审核验收；物资入库程序应为2人进行审核验收，但根据入库明细表记录存在仅为1人进行入库签收及入库签收人未签字的情况，入库管理不到位。</w:t>
      </w:r>
    </w:p>
    <w:p>
      <w:pPr>
        <w:spacing w:line="580" w:lineRule="exact"/>
        <w:ind w:firstLine="600" w:firstLineChars="200"/>
        <w:rPr>
          <w:shd w:val="clear" w:color="auto" w:fill="FFFFFF" w:themeFill="background1"/>
        </w:rPr>
      </w:pPr>
      <w:r>
        <w:rPr>
          <w:rFonts w:hint="eastAsia"/>
          <w:shd w:val="clear" w:color="auto" w:fill="FFFFFF" w:themeFill="background1"/>
        </w:rPr>
        <w:t>虽然物资采购项目时间紧迫、工作量大，但</w:t>
      </w:r>
      <w:r>
        <w:rPr>
          <w:rFonts w:hint="eastAsia"/>
          <w:shd w:val="clear" w:color="auto" w:fill="FFFFFF" w:themeFill="background1"/>
          <w:lang w:eastAsia="zh-CN"/>
        </w:rPr>
        <w:t>区经信委</w:t>
      </w:r>
      <w:r>
        <w:rPr>
          <w:rFonts w:hint="eastAsia"/>
          <w:shd w:val="clear" w:color="auto" w:fill="FFFFFF" w:themeFill="background1"/>
        </w:rPr>
        <w:t>也应加强应急物资的管理，做好物资入库管理，保障物资账实相符，程序合规。</w:t>
      </w:r>
    </w:p>
    <w:p>
      <w:pPr>
        <w:spacing w:line="580" w:lineRule="exact"/>
        <w:ind w:firstLine="600" w:firstLineChars="200"/>
        <w:rPr>
          <w:rFonts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（四）过程监督不到位，未组织考评、盘点程序</w:t>
      </w:r>
    </w:p>
    <w:p>
      <w:pPr>
        <w:spacing w:line="580" w:lineRule="exact"/>
        <w:ind w:firstLine="600" w:firstLineChars="200"/>
        <w:rPr>
          <w:shd w:val="clear" w:color="auto" w:fill="FFFFFF" w:themeFill="background1"/>
        </w:rPr>
      </w:pPr>
      <w:r>
        <w:rPr>
          <w:rFonts w:hint="eastAsia"/>
          <w:shd w:val="clear" w:color="auto" w:fill="FFFFFF" w:themeFill="background1"/>
          <w:lang w:eastAsia="zh-CN"/>
        </w:rPr>
        <w:t>区经信委</w:t>
      </w:r>
      <w:r>
        <w:rPr>
          <w:rFonts w:hint="eastAsia"/>
          <w:shd w:val="clear" w:color="auto" w:fill="FFFFFF" w:themeFill="background1"/>
        </w:rPr>
        <w:t>虽然已经建立防疫物资出入库明细账，保障应急物资合理存放，严格物资出库管理。但购买的防疫物资在2020年1月至2020年5月12日存放管理期间，库存管理人员未定期对库存物资进行核准清点，未能准确把控库存物资情况，导致移交过程中存在盘盈的情况。项目采购执行过程中未组织考评检查，未对相关管理人员的职责进行监督考核，未见相关检查考核文件，过程监督管理不到位。</w:t>
      </w:r>
    </w:p>
    <w:p>
      <w:pPr>
        <w:spacing w:line="580" w:lineRule="exact"/>
        <w:ind w:firstLine="600" w:firstLineChars="200"/>
        <w:jc w:val="left"/>
        <w:rPr>
          <w:rFonts w:ascii="黑体" w:hAnsi="黑体" w:eastAsia="黑体"/>
          <w:szCs w:val="30"/>
          <w:shd w:val="clear" w:color="auto" w:fill="FFFFFF" w:themeFill="background1"/>
        </w:rPr>
      </w:pPr>
      <w:bookmarkStart w:id="12" w:name="_Toc15606"/>
      <w:r>
        <w:rPr>
          <w:rFonts w:hint="eastAsia" w:ascii="黑体" w:hAnsi="黑体" w:eastAsia="黑体"/>
          <w:szCs w:val="30"/>
          <w:shd w:val="clear" w:color="auto" w:fill="FFFFFF" w:themeFill="background1"/>
        </w:rPr>
        <w:t>五、相关建议</w:t>
      </w:r>
      <w:bookmarkEnd w:id="12"/>
    </w:p>
    <w:p>
      <w:pPr>
        <w:spacing w:line="580" w:lineRule="exact"/>
        <w:ind w:firstLine="600" w:firstLineChars="200"/>
        <w:rPr>
          <w:rFonts w:hint="eastAsia"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（一）完善具体绩效目标编制工作，提升绩效目标管理</w:t>
      </w:r>
    </w:p>
    <w:p>
      <w:pPr>
        <w:spacing w:line="580" w:lineRule="exact"/>
        <w:ind w:firstLine="600" w:firstLineChars="200"/>
        <w:rPr>
          <w:shd w:val="clear" w:color="auto" w:fill="FFFFFF" w:themeFill="background1"/>
        </w:rPr>
      </w:pPr>
      <w:r>
        <w:rPr>
          <w:rFonts w:hint="eastAsia"/>
          <w:shd w:val="clear" w:color="auto" w:fill="FFFFFF" w:themeFill="background1"/>
        </w:rPr>
        <w:t>区经信委应按照《重庆市财政局关于印发重庆市抗疫特别国债项目绩效管理办法的通知》（渝财绩〔2020〕15号）文件要求编制绩效目标，基于项目的自身特殊性也应完善具体绩效目标和细化绩效指标并组织实施自评。加强绩效目标管理，有利于绩效目标与预算资金安排相对应，最大化保障资金使用效益，且合理设置项目投入、过程、产出及效果指标，通过将任务和要求等内容的指标化，有助于提升绩效目标对工作开展的指导性，保证项目开展效果的实现。</w:t>
      </w:r>
    </w:p>
    <w:p>
      <w:pPr>
        <w:spacing w:line="580" w:lineRule="exact"/>
        <w:ind w:firstLine="600" w:firstLineChars="200"/>
        <w:rPr>
          <w:rFonts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（二）加强财务核算规范性，不断提升财务管理的科学性</w:t>
      </w:r>
    </w:p>
    <w:p>
      <w:pPr>
        <w:spacing w:line="580" w:lineRule="exact"/>
        <w:ind w:firstLine="600" w:firstLineChars="200"/>
        <w:rPr>
          <w:shd w:val="clear" w:color="auto" w:fill="FFFFFF" w:themeFill="background1"/>
        </w:rPr>
      </w:pPr>
      <w:r>
        <w:rPr>
          <w:rFonts w:hint="eastAsia"/>
          <w:shd w:val="clear" w:color="auto" w:fill="FFFFFF" w:themeFill="background1"/>
        </w:rPr>
        <w:t>财务核算工作应保证记录的正确性、完整性和合理性，区经信委应根据制定的《财务管理制度》加强财务核算工作的规范化管理，加大对财务核算的内控力度，努力提高财会人员的专业素质，进一步完善财务管理制度，加强财务核算的完整性，对财务核算程序和资料进一步规范和完善，不断提升财务管理的科学性。</w:t>
      </w:r>
    </w:p>
    <w:p>
      <w:pPr>
        <w:spacing w:line="580" w:lineRule="exact"/>
        <w:ind w:firstLine="600" w:firstLineChars="200"/>
        <w:rPr>
          <w:rFonts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（三）规范操作流程，加强物资入库管理</w:t>
      </w:r>
    </w:p>
    <w:p>
      <w:pPr>
        <w:spacing w:line="580" w:lineRule="exact"/>
        <w:ind w:firstLine="600" w:firstLineChars="200"/>
        <w:rPr>
          <w:shd w:val="clear" w:color="auto" w:fill="FFFFFF" w:themeFill="background1"/>
        </w:rPr>
      </w:pPr>
      <w:r>
        <w:rPr>
          <w:rFonts w:hint="eastAsia"/>
          <w:shd w:val="clear" w:color="auto" w:fill="FFFFFF" w:themeFill="background1"/>
          <w:lang w:eastAsia="zh-CN"/>
        </w:rPr>
        <w:t>区经信委</w:t>
      </w:r>
      <w:r>
        <w:rPr>
          <w:rFonts w:hint="eastAsia"/>
          <w:shd w:val="clear" w:color="auto" w:fill="FFFFFF" w:themeFill="background1"/>
        </w:rPr>
        <w:t>需加强物资入库程序的操作流程，应要求供货商提供发货随行单并保存作为入库依据，物资入库时加以核对所到货物与合同订单、发货随行单要求的品种、规格、数量、时间是否一致，并按照《重庆市梁平区新型冠状病毒感染的肺炎疫情应急物资管理制度》要求，入库管理人员对入库明细单进行登记及签字确认。对新购买物资进行验收入库时应安排至少2名人员审核验收，保障物资入库程序的完整性及规范性，完善物资的入库管理，规范物资的入库验收制度。</w:t>
      </w:r>
    </w:p>
    <w:p>
      <w:pPr>
        <w:spacing w:line="580" w:lineRule="exact"/>
        <w:ind w:firstLine="600" w:firstLineChars="200"/>
        <w:rPr>
          <w:rFonts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（四）实施考评、盘点程序，完善过程监督</w:t>
      </w:r>
    </w:p>
    <w:p>
      <w:pPr>
        <w:spacing w:line="580" w:lineRule="exact"/>
        <w:ind w:firstLine="600" w:firstLineChars="200"/>
        <w:rPr>
          <w:shd w:val="clear" w:color="auto" w:fill="FFFFFF" w:themeFill="background1"/>
        </w:rPr>
      </w:pPr>
      <w:r>
        <w:rPr>
          <w:rFonts w:hint="eastAsia"/>
          <w:shd w:val="clear" w:color="auto" w:fill="FFFFFF" w:themeFill="background1"/>
        </w:rPr>
        <w:t>购买的防疫物资在存放管理期间，遵循《重庆市梁平区新型冠状病毒感染的肺炎疫情应急物资管理制度》，库存管理人员应定期对库存物资进行核准清点，如每周末或每月末组织盘点程序，及时掌握库存物资情况，避免出现账实不符的情况。应加强对物资采购执行过程中的组织考评检查，对相关管理人员的职责进行监督考核，强化过程监督管理。</w:t>
      </w:r>
    </w:p>
    <w:p>
      <w:pPr>
        <w:spacing w:line="580" w:lineRule="exact"/>
        <w:rPr>
          <w:shd w:val="clear" w:color="auto" w:fill="FFFFFF" w:themeFill="background1"/>
        </w:rPr>
      </w:pPr>
    </w:p>
    <w:p>
      <w:pPr>
        <w:spacing w:line="580" w:lineRule="exact"/>
        <w:rPr>
          <w:shd w:val="clear" w:color="auto" w:fill="FFFFFF" w:themeFill="background1"/>
        </w:rPr>
        <w:sectPr>
          <w:footerReference r:id="rId5" w:type="default"/>
          <w:pgSz w:w="11906" w:h="16838"/>
          <w:pgMar w:top="1440" w:right="1800" w:bottom="1440" w:left="1800" w:header="851" w:footer="992" w:gutter="0"/>
          <w:pgNumType w:fmt="lowerRoman" w:start="1"/>
          <w:cols w:space="425" w:num="1"/>
          <w:docGrid w:type="lines" w:linePitch="312" w:charSpace="0"/>
        </w:sectPr>
      </w:pPr>
    </w:p>
    <w:p>
      <w:pPr>
        <w:spacing w:line="600" w:lineRule="exact"/>
        <w:jc w:val="center"/>
        <w:outlineLvl w:val="0"/>
        <w:rPr>
          <w:rFonts w:ascii="方正小标宋简体" w:hAnsi="Times New Roman" w:eastAsia="方正小标宋简体"/>
          <w:sz w:val="44"/>
          <w:szCs w:val="44"/>
          <w:shd w:val="clear" w:color="auto" w:fill="FFFFFF" w:themeFill="background1"/>
        </w:rPr>
      </w:pPr>
      <w:bookmarkStart w:id="13" w:name="_Toc7360"/>
      <w:bookmarkStart w:id="14" w:name="_Toc8671"/>
      <w:bookmarkStart w:id="15" w:name="_Toc18285"/>
      <w:r>
        <w:rPr>
          <w:rFonts w:hint="eastAsia" w:ascii="方正小标宋简体" w:hAnsi="Times New Roman" w:eastAsia="方正小标宋简体"/>
          <w:sz w:val="44"/>
          <w:szCs w:val="44"/>
          <w:shd w:val="clear" w:color="auto" w:fill="FFFFFF" w:themeFill="background1"/>
        </w:rPr>
        <w:t>梁平区</w:t>
      </w:r>
      <w:bookmarkEnd w:id="13"/>
      <w:bookmarkEnd w:id="14"/>
      <w:r>
        <w:rPr>
          <w:rFonts w:hint="eastAsia" w:ascii="方正小标宋简体" w:hAnsi="Times New Roman" w:eastAsia="方正小标宋简体"/>
          <w:sz w:val="44"/>
          <w:szCs w:val="44"/>
          <w:shd w:val="clear" w:color="auto" w:fill="FFFFFF" w:themeFill="background1"/>
        </w:rPr>
        <w:t>2020年安排防疫物资采购项目</w:t>
      </w:r>
      <w:bookmarkEnd w:id="15"/>
    </w:p>
    <w:p>
      <w:pPr>
        <w:spacing w:line="600" w:lineRule="exact"/>
        <w:jc w:val="center"/>
        <w:outlineLvl w:val="0"/>
        <w:rPr>
          <w:rFonts w:ascii="方正小标宋简体" w:hAnsi="Times New Roman" w:eastAsia="方正小标宋简体"/>
          <w:sz w:val="44"/>
          <w:szCs w:val="44"/>
          <w:shd w:val="clear" w:color="auto" w:fill="FFFFFF" w:themeFill="background1"/>
        </w:rPr>
      </w:pPr>
      <w:bookmarkStart w:id="16" w:name="_Toc23806"/>
      <w:r>
        <w:rPr>
          <w:rFonts w:hint="eastAsia" w:ascii="方正小标宋简体" w:hAnsi="Times New Roman" w:eastAsia="方正小标宋简体"/>
          <w:sz w:val="44"/>
          <w:szCs w:val="44"/>
          <w:shd w:val="clear" w:color="auto" w:fill="FFFFFF" w:themeFill="background1"/>
        </w:rPr>
        <w:t>绩效评价报告正文</w:t>
      </w:r>
      <w:bookmarkEnd w:id="3"/>
      <w:bookmarkEnd w:id="4"/>
      <w:bookmarkEnd w:id="5"/>
      <w:bookmarkEnd w:id="16"/>
    </w:p>
    <w:p>
      <w:pPr>
        <w:spacing w:line="600" w:lineRule="exact"/>
        <w:ind w:firstLine="880" w:firstLineChars="200"/>
        <w:rPr>
          <w:rFonts w:ascii="方正小标宋简体" w:hAnsi="Times New Roman" w:eastAsia="方正小标宋简体"/>
          <w:sz w:val="44"/>
          <w:szCs w:val="44"/>
          <w:shd w:val="clear" w:color="auto" w:fill="FFFFFF" w:themeFill="background1"/>
        </w:rPr>
      </w:pPr>
    </w:p>
    <w:p>
      <w:pPr>
        <w:spacing w:line="580" w:lineRule="exact"/>
        <w:ind w:firstLine="600" w:firstLineChars="200"/>
        <w:rPr>
          <w:shd w:val="clear" w:color="auto" w:fill="FFFFFF" w:themeFill="background1"/>
        </w:rPr>
      </w:pPr>
      <w:r>
        <w:rPr>
          <w:rFonts w:hint="eastAsia"/>
          <w:shd w:val="clear" w:color="auto" w:fill="FFFFFF" w:themeFill="background1"/>
        </w:rPr>
        <w:t>为加强财政资金管理，提高财政资金使用效益，根据《重庆市财政局关于印发&lt;重庆市市级政策和项目预算绩效管理办法（试行）&gt;的通知》（渝财绩〔2019〕19号）文件的要求，梁平区财政局委托云南云岭工程造价咨询有限公司对梁平区2020年</w:t>
      </w:r>
      <w:r>
        <w:rPr>
          <w:rFonts w:hint="eastAsia" w:cs="Arial"/>
          <w:szCs w:val="30"/>
        </w:rPr>
        <w:t>安排防疫物资采购项目</w:t>
      </w:r>
      <w:r>
        <w:rPr>
          <w:rFonts w:hint="eastAsia"/>
          <w:shd w:val="clear" w:color="auto" w:fill="FFFFFF" w:themeFill="background1"/>
        </w:rPr>
        <w:t>进行了绩效评价。现将评价情况报告如下：</w:t>
      </w:r>
    </w:p>
    <w:p>
      <w:pPr>
        <w:spacing w:line="580" w:lineRule="exact"/>
        <w:ind w:firstLine="600" w:firstLineChars="200"/>
        <w:jc w:val="left"/>
        <w:outlineLvl w:val="0"/>
        <w:rPr>
          <w:rFonts w:ascii="黑体" w:hAnsi="宋体" w:eastAsia="黑体" w:cs="宋体"/>
          <w:szCs w:val="30"/>
          <w:shd w:val="clear" w:color="auto" w:fill="FFFFFF" w:themeFill="background1"/>
        </w:rPr>
      </w:pPr>
      <w:bookmarkStart w:id="17" w:name="_Toc8316"/>
      <w:bookmarkStart w:id="18" w:name="_Toc42518785"/>
      <w:bookmarkStart w:id="19" w:name="_Toc828"/>
      <w:r>
        <w:rPr>
          <w:rFonts w:hint="eastAsia" w:ascii="黑体" w:hAnsi="宋体" w:eastAsia="黑体" w:cs="宋体"/>
          <w:szCs w:val="30"/>
          <w:shd w:val="clear" w:color="auto" w:fill="FFFFFF" w:themeFill="background1"/>
        </w:rPr>
        <w:t>一、项目基本情况</w:t>
      </w:r>
      <w:bookmarkEnd w:id="17"/>
      <w:bookmarkEnd w:id="18"/>
      <w:bookmarkEnd w:id="19"/>
    </w:p>
    <w:p>
      <w:pPr>
        <w:spacing w:line="580" w:lineRule="exact"/>
        <w:ind w:firstLine="600" w:firstLineChars="200"/>
        <w:jc w:val="left"/>
        <w:outlineLvl w:val="1"/>
        <w:rPr>
          <w:rFonts w:ascii="楷体" w:hAnsi="楷体" w:eastAsia="楷体"/>
          <w:szCs w:val="30"/>
          <w:shd w:val="clear" w:color="auto" w:fill="FFFFFF" w:themeFill="background1"/>
        </w:rPr>
      </w:pPr>
      <w:bookmarkStart w:id="20" w:name="_Toc42518786"/>
      <w:bookmarkStart w:id="21" w:name="_Toc14642"/>
      <w:bookmarkStart w:id="22" w:name="_Toc29154"/>
      <w:r>
        <w:rPr>
          <w:rFonts w:hint="eastAsia" w:ascii="楷体" w:hAnsi="楷体" w:eastAsia="楷体" w:cs="楷体"/>
          <w:szCs w:val="30"/>
          <w:shd w:val="clear" w:color="auto" w:fill="FFFFFF" w:themeFill="background1"/>
        </w:rPr>
        <w:t>（一）项目名</w:t>
      </w:r>
      <w:r>
        <w:rPr>
          <w:rFonts w:hint="eastAsia" w:ascii="楷体" w:hAnsi="楷体" w:eastAsia="楷体"/>
          <w:szCs w:val="30"/>
          <w:shd w:val="clear" w:color="auto" w:fill="FFFFFF" w:themeFill="background1"/>
        </w:rPr>
        <w:t>称</w:t>
      </w:r>
      <w:bookmarkEnd w:id="20"/>
      <w:bookmarkEnd w:id="21"/>
      <w:bookmarkEnd w:id="22"/>
    </w:p>
    <w:p>
      <w:pPr>
        <w:spacing w:line="580" w:lineRule="exact"/>
        <w:ind w:firstLine="600" w:firstLineChars="200"/>
        <w:rPr>
          <w:shd w:val="clear" w:color="auto" w:fill="FFFFFF" w:themeFill="background1"/>
        </w:rPr>
      </w:pPr>
      <w:r>
        <w:rPr>
          <w:rFonts w:hint="eastAsia"/>
          <w:shd w:val="clear" w:color="auto" w:fill="FFFFFF" w:themeFill="background1"/>
        </w:rPr>
        <w:t>项目名称：</w:t>
      </w:r>
      <w:bookmarkStart w:id="23" w:name="_Toc42518787"/>
      <w:r>
        <w:rPr>
          <w:rFonts w:hint="eastAsia"/>
          <w:szCs w:val="30"/>
        </w:rPr>
        <w:t>梁平区2020年</w:t>
      </w:r>
      <w:r>
        <w:rPr>
          <w:rFonts w:hint="eastAsia" w:cs="Arial"/>
          <w:szCs w:val="30"/>
        </w:rPr>
        <w:t>安排防疫物资采购项目（以下简称“</w:t>
      </w:r>
      <w:r>
        <w:rPr>
          <w:rFonts w:hint="eastAsia"/>
          <w:szCs w:val="30"/>
        </w:rPr>
        <w:t>防疫物资采购项目</w:t>
      </w:r>
      <w:r>
        <w:rPr>
          <w:rFonts w:hint="eastAsia" w:cs="Arial"/>
          <w:szCs w:val="30"/>
        </w:rPr>
        <w:t>”）</w:t>
      </w:r>
      <w:r>
        <w:rPr>
          <w:rFonts w:hint="eastAsia"/>
          <w:shd w:val="clear" w:color="auto" w:fill="FFFFFF" w:themeFill="background1"/>
        </w:rPr>
        <w:t>。</w:t>
      </w:r>
    </w:p>
    <w:p>
      <w:pPr>
        <w:spacing w:line="580" w:lineRule="exact"/>
        <w:ind w:firstLine="600" w:firstLineChars="200"/>
        <w:outlineLvl w:val="1"/>
        <w:rPr>
          <w:rFonts w:ascii="楷体" w:hAnsi="楷体" w:eastAsia="楷体"/>
          <w:szCs w:val="30"/>
          <w:shd w:val="clear" w:color="auto" w:fill="FFFFFF" w:themeFill="background1"/>
        </w:rPr>
      </w:pPr>
      <w:bookmarkStart w:id="24" w:name="_Toc43887941"/>
      <w:bookmarkStart w:id="25" w:name="_Toc17123"/>
      <w:bookmarkStart w:id="26" w:name="_Toc32575"/>
      <w:bookmarkStart w:id="27" w:name="_Hlk15292623"/>
      <w:r>
        <w:rPr>
          <w:rFonts w:hint="eastAsia" w:ascii="楷体" w:hAnsi="楷体" w:eastAsia="楷体"/>
          <w:szCs w:val="30"/>
          <w:shd w:val="clear" w:color="auto" w:fill="FFFFFF" w:themeFill="background1"/>
        </w:rPr>
        <w:t>（二）项目</w:t>
      </w:r>
      <w:bookmarkEnd w:id="24"/>
      <w:r>
        <w:rPr>
          <w:rFonts w:hint="eastAsia" w:ascii="楷体" w:hAnsi="楷体" w:eastAsia="楷体"/>
          <w:szCs w:val="30"/>
          <w:shd w:val="clear" w:color="auto" w:fill="FFFFFF" w:themeFill="background1"/>
        </w:rPr>
        <w:t>主管单位</w:t>
      </w:r>
      <w:bookmarkEnd w:id="25"/>
      <w:bookmarkEnd w:id="26"/>
    </w:p>
    <w:p>
      <w:pPr>
        <w:spacing w:line="580" w:lineRule="exact"/>
        <w:ind w:firstLine="600" w:firstLineChars="200"/>
        <w:jc w:val="left"/>
        <w:rPr>
          <w:shd w:val="clear" w:color="auto" w:fill="FFFFFF" w:themeFill="background1"/>
        </w:rPr>
      </w:pPr>
      <w:r>
        <w:rPr>
          <w:rFonts w:hint="eastAsia"/>
          <w:shd w:val="clear" w:color="auto" w:fill="FFFFFF" w:themeFill="background1"/>
        </w:rPr>
        <w:t>本项目主管单位：</w:t>
      </w:r>
      <w:r>
        <w:rPr>
          <w:rFonts w:hint="eastAsia"/>
          <w:szCs w:val="30"/>
        </w:rPr>
        <w:t>重庆市梁平区经济和信息化委员会（以下简称“区经信委”）。</w:t>
      </w:r>
    </w:p>
    <w:bookmarkEnd w:id="27"/>
    <w:p>
      <w:pPr>
        <w:spacing w:line="580" w:lineRule="exact"/>
        <w:ind w:firstLine="600" w:firstLineChars="200"/>
        <w:outlineLvl w:val="1"/>
        <w:rPr>
          <w:rFonts w:ascii="楷体" w:hAnsi="楷体" w:eastAsia="楷体"/>
          <w:szCs w:val="30"/>
          <w:shd w:val="clear" w:color="auto" w:fill="FFFFFF" w:themeFill="background1"/>
        </w:rPr>
      </w:pPr>
      <w:bookmarkStart w:id="28" w:name="_Toc43887943"/>
      <w:bookmarkStart w:id="29" w:name="_Toc16620"/>
      <w:bookmarkStart w:id="30" w:name="_Toc4846"/>
      <w:r>
        <w:rPr>
          <w:rFonts w:hint="eastAsia" w:ascii="楷体" w:hAnsi="楷体" w:eastAsia="楷体"/>
          <w:szCs w:val="30"/>
          <w:shd w:val="clear" w:color="auto" w:fill="FFFFFF" w:themeFill="background1"/>
        </w:rPr>
        <w:t>（三）项目实施内容</w:t>
      </w:r>
      <w:bookmarkEnd w:id="28"/>
      <w:bookmarkEnd w:id="29"/>
      <w:bookmarkEnd w:id="30"/>
    </w:p>
    <w:p>
      <w:pPr>
        <w:spacing w:line="580" w:lineRule="exact"/>
        <w:ind w:firstLine="600" w:firstLineChars="200"/>
        <w:jc w:val="left"/>
        <w:rPr>
          <w:szCs w:val="30"/>
          <w:shd w:val="clear" w:color="auto" w:fill="FFFFFF"/>
        </w:rPr>
      </w:pPr>
      <w:r>
        <w:rPr>
          <w:rFonts w:hint="eastAsia" w:cs="Arial"/>
          <w:szCs w:val="30"/>
        </w:rPr>
        <w:t>梁平区2020年安排防疫物资采购项目的资金主要用于紧急处置新型冠状病毒感染的肺炎疫情所需的口罩、消毒用品、防护服、手套以及手持测温仪等物资</w:t>
      </w:r>
      <w:r>
        <w:rPr>
          <w:rFonts w:hint="eastAsia"/>
          <w:shd w:val="clear" w:color="auto" w:fill="FFFFFF" w:themeFill="background1"/>
        </w:rPr>
        <w:t>。</w:t>
      </w:r>
    </w:p>
    <w:p>
      <w:pPr>
        <w:spacing w:line="580" w:lineRule="exact"/>
        <w:ind w:firstLine="600" w:firstLineChars="200"/>
        <w:outlineLvl w:val="1"/>
        <w:rPr>
          <w:rFonts w:ascii="楷体" w:hAnsi="楷体" w:eastAsia="楷体"/>
          <w:szCs w:val="30"/>
          <w:shd w:val="clear" w:color="auto" w:fill="FFFFFF" w:themeFill="background1"/>
        </w:rPr>
      </w:pPr>
      <w:bookmarkStart w:id="31" w:name="_Toc43887942"/>
      <w:bookmarkStart w:id="32" w:name="_Toc3456"/>
      <w:bookmarkStart w:id="33" w:name="_Toc8828"/>
      <w:r>
        <w:rPr>
          <w:rFonts w:hint="eastAsia" w:ascii="楷体" w:hAnsi="楷体" w:eastAsia="楷体"/>
          <w:szCs w:val="30"/>
          <w:shd w:val="clear" w:color="auto" w:fill="FFFFFF" w:themeFill="background1"/>
        </w:rPr>
        <w:t>（四）项目</w:t>
      </w:r>
      <w:bookmarkEnd w:id="31"/>
      <w:r>
        <w:rPr>
          <w:rFonts w:hint="eastAsia" w:ascii="楷体" w:hAnsi="楷体" w:eastAsia="楷体"/>
          <w:szCs w:val="30"/>
          <w:shd w:val="clear" w:color="auto" w:fill="FFFFFF" w:themeFill="background1"/>
        </w:rPr>
        <w:t>资金预算</w:t>
      </w:r>
      <w:bookmarkEnd w:id="32"/>
      <w:bookmarkEnd w:id="33"/>
    </w:p>
    <w:bookmarkEnd w:id="23"/>
    <w:p>
      <w:pPr>
        <w:ind w:firstLine="600" w:firstLineChars="200"/>
      </w:pPr>
      <w:bookmarkStart w:id="34" w:name="_Toc10608"/>
      <w:bookmarkStart w:id="35" w:name="_Toc43887945"/>
      <w:r>
        <w:rPr>
          <w:rFonts w:hint="eastAsia" w:cs="Arial"/>
          <w:szCs w:val="30"/>
        </w:rPr>
        <w:t>梁平区2020年安排防疫物资采购项目预算金额共计600.00万元，根据《重庆市梁平区财政局关于下达2020年抗疫特别国债资金的通知》（梁平财发〔2020〕351号）文件，确认拨付600.00万元。但后续经区十七届人大常委会第36次会议审议，</w:t>
      </w:r>
      <w:r>
        <w:rPr>
          <w:rFonts w:hint="eastAsia" w:cs="Arial"/>
          <w:szCs w:val="30"/>
          <w:lang w:val="en-US" w:eastAsia="zh-CN"/>
        </w:rPr>
        <w:t>对</w:t>
      </w:r>
      <w:r>
        <w:rPr>
          <w:rFonts w:hint="eastAsia" w:cs="Arial"/>
          <w:szCs w:val="30"/>
        </w:rPr>
        <w:t>防疫物资采购项目安排的抗疫特别国债资金进行调整，并根据《重庆市梁平区财政局关于下达2020年部分抗疫特别国债资金调整使用计划的通知》（梁平财发〔2020〕855号）文件，确认调整后金额为592.60万元。</w:t>
      </w:r>
    </w:p>
    <w:p>
      <w:pPr>
        <w:spacing w:line="580" w:lineRule="exact"/>
        <w:ind w:firstLine="600" w:firstLineChars="200"/>
        <w:outlineLvl w:val="1"/>
        <w:rPr>
          <w:rFonts w:ascii="楷体" w:hAnsi="楷体" w:eastAsia="楷体"/>
          <w:szCs w:val="30"/>
          <w:shd w:val="clear" w:color="auto" w:fill="FFFFFF" w:themeFill="background1"/>
        </w:rPr>
      </w:pPr>
      <w:bookmarkStart w:id="36" w:name="_Toc537"/>
      <w:r>
        <w:rPr>
          <w:rFonts w:hint="eastAsia" w:ascii="楷体" w:hAnsi="楷体" w:eastAsia="楷体"/>
          <w:szCs w:val="30"/>
          <w:shd w:val="clear" w:color="auto" w:fill="FFFFFF" w:themeFill="background1"/>
        </w:rPr>
        <w:t>（五）绩效评价范围</w:t>
      </w:r>
      <w:bookmarkEnd w:id="34"/>
      <w:bookmarkEnd w:id="36"/>
    </w:p>
    <w:p>
      <w:pPr>
        <w:spacing w:line="580" w:lineRule="exact"/>
        <w:ind w:firstLine="600" w:firstLineChars="200"/>
        <w:rPr>
          <w:shd w:val="clear" w:color="auto" w:fill="FFFFFF" w:themeFill="background1"/>
        </w:rPr>
      </w:pPr>
      <w:r>
        <w:rPr>
          <w:rFonts w:hint="eastAsia" w:cs="Arial"/>
          <w:szCs w:val="30"/>
        </w:rPr>
        <w:t>本次绩效评价范围为2020年安排防疫物资采购项目财政专项资金592.60万元,且全部为债券资金</w:t>
      </w:r>
      <w:r>
        <w:rPr>
          <w:rFonts w:hint="eastAsia"/>
          <w:shd w:val="clear" w:color="auto" w:fill="FFFFFF" w:themeFill="background1"/>
        </w:rPr>
        <w:t>。</w:t>
      </w:r>
    </w:p>
    <w:p>
      <w:pPr>
        <w:spacing w:line="580" w:lineRule="exact"/>
        <w:ind w:firstLine="600" w:firstLineChars="200"/>
        <w:jc w:val="left"/>
        <w:outlineLvl w:val="0"/>
        <w:rPr>
          <w:rFonts w:ascii="黑体" w:hAnsi="宋体" w:eastAsia="黑体" w:cs="宋体"/>
          <w:szCs w:val="30"/>
          <w:shd w:val="clear" w:color="auto" w:fill="FFFFFF" w:themeFill="background1"/>
        </w:rPr>
      </w:pPr>
      <w:bookmarkStart w:id="37" w:name="_Toc10186"/>
      <w:bookmarkStart w:id="38" w:name="_Toc30037"/>
      <w:r>
        <w:rPr>
          <w:rFonts w:hint="eastAsia" w:ascii="黑体" w:hAnsi="宋体" w:eastAsia="黑体" w:cs="宋体"/>
          <w:szCs w:val="30"/>
          <w:shd w:val="clear" w:color="auto" w:fill="FFFFFF" w:themeFill="background1"/>
        </w:rPr>
        <w:t>二、绩效评价工作情况</w:t>
      </w:r>
      <w:bookmarkEnd w:id="35"/>
      <w:bookmarkEnd w:id="37"/>
      <w:bookmarkEnd w:id="38"/>
    </w:p>
    <w:p>
      <w:pPr>
        <w:spacing w:line="580" w:lineRule="exact"/>
        <w:ind w:firstLine="600" w:firstLineChars="200"/>
        <w:outlineLvl w:val="1"/>
        <w:rPr>
          <w:rFonts w:ascii="楷体" w:hAnsi="楷体" w:eastAsia="楷体"/>
          <w:szCs w:val="30"/>
          <w:shd w:val="clear" w:color="auto" w:fill="FFFFFF" w:themeFill="background1"/>
        </w:rPr>
      </w:pPr>
      <w:bookmarkStart w:id="39" w:name="_Toc43887946"/>
      <w:bookmarkStart w:id="40" w:name="_Toc1109"/>
      <w:bookmarkStart w:id="41" w:name="_Toc23284"/>
      <w:r>
        <w:rPr>
          <w:rFonts w:hint="eastAsia" w:ascii="楷体" w:hAnsi="楷体" w:eastAsia="楷体"/>
          <w:szCs w:val="30"/>
          <w:shd w:val="clear" w:color="auto" w:fill="FFFFFF" w:themeFill="background1"/>
        </w:rPr>
        <w:t>（一）绩效评价的目的</w:t>
      </w:r>
      <w:bookmarkEnd w:id="39"/>
      <w:bookmarkEnd w:id="40"/>
      <w:bookmarkEnd w:id="41"/>
    </w:p>
    <w:p>
      <w:pPr>
        <w:spacing w:line="580" w:lineRule="exact"/>
        <w:ind w:firstLine="600" w:firstLineChars="200"/>
        <w:rPr>
          <w:shd w:val="clear" w:color="auto" w:fill="FFFFFF" w:themeFill="background1"/>
        </w:rPr>
      </w:pPr>
      <w:r>
        <w:rPr>
          <w:rFonts w:hint="eastAsia"/>
          <w:shd w:val="clear" w:color="auto" w:fill="FFFFFF" w:themeFill="background1"/>
        </w:rPr>
        <w:t>本次绩效评价的目的是通过绩效评价，全面具体了解梁平区</w:t>
      </w:r>
      <w:r>
        <w:rPr>
          <w:rFonts w:hint="eastAsia" w:cs="Arial"/>
          <w:szCs w:val="30"/>
        </w:rPr>
        <w:t>2020年安排防疫物资采购项目</w:t>
      </w:r>
      <w:r>
        <w:rPr>
          <w:rFonts w:hint="eastAsia"/>
          <w:shd w:val="clear" w:color="auto" w:fill="FFFFFF" w:themeFill="background1"/>
        </w:rPr>
        <w:t>的资金使用情况和使用成效，总结经验查找不足，为进一步完善管理制度、改善管理措施、提高财政资金使用效益提供借鉴和参考。</w:t>
      </w:r>
    </w:p>
    <w:p>
      <w:pPr>
        <w:spacing w:line="580" w:lineRule="exact"/>
        <w:ind w:firstLine="600" w:firstLineChars="200"/>
        <w:outlineLvl w:val="1"/>
        <w:rPr>
          <w:szCs w:val="30"/>
          <w:shd w:val="clear" w:color="auto" w:fill="FFFFFF"/>
        </w:rPr>
      </w:pPr>
      <w:bookmarkStart w:id="42" w:name="_Toc43887947"/>
      <w:bookmarkStart w:id="43" w:name="_Toc2228"/>
      <w:bookmarkStart w:id="44" w:name="_Toc122"/>
      <w:r>
        <w:rPr>
          <w:rFonts w:hint="eastAsia" w:ascii="楷体" w:hAnsi="楷体" w:eastAsia="楷体"/>
          <w:szCs w:val="30"/>
          <w:shd w:val="clear" w:color="auto" w:fill="FFFFFF" w:themeFill="background1"/>
        </w:rPr>
        <w:t>（二）绩效评价主要依据</w:t>
      </w:r>
      <w:bookmarkEnd w:id="42"/>
      <w:bookmarkEnd w:id="43"/>
      <w:bookmarkEnd w:id="44"/>
    </w:p>
    <w:p>
      <w:pPr>
        <w:spacing w:line="580" w:lineRule="exact"/>
        <w:ind w:firstLine="600" w:firstLineChars="200"/>
        <w:rPr>
          <w:szCs w:val="30"/>
          <w:shd w:val="clear" w:color="auto" w:fill="FFFFFF"/>
        </w:rPr>
      </w:pPr>
      <w:r>
        <w:rPr>
          <w:rFonts w:hint="eastAsia"/>
          <w:szCs w:val="30"/>
          <w:shd w:val="clear" w:color="auto" w:fill="FFFFFF"/>
        </w:rPr>
        <w:t>1.《中共中央、国务院关于全面实施预算绩效管理的意见》（中发〔2018〕34号）；</w:t>
      </w:r>
    </w:p>
    <w:p>
      <w:pPr>
        <w:spacing w:line="580" w:lineRule="exact"/>
        <w:ind w:firstLine="600" w:firstLineChars="200"/>
        <w:rPr>
          <w:szCs w:val="30"/>
          <w:shd w:val="clear" w:color="auto" w:fill="FFFFFF"/>
        </w:rPr>
      </w:pPr>
      <w:r>
        <w:rPr>
          <w:rFonts w:hint="eastAsia"/>
          <w:szCs w:val="30"/>
          <w:shd w:val="clear" w:color="auto" w:fill="FFFFFF"/>
        </w:rPr>
        <w:t>2.《重庆市财政局关于印发〈重庆市财政专项资金绩效评价指标体系（试行）〉的通知》（渝财监督〔2011〕63号）；</w:t>
      </w:r>
    </w:p>
    <w:p>
      <w:pPr>
        <w:spacing w:line="580" w:lineRule="exact"/>
        <w:ind w:firstLine="600" w:firstLineChars="200"/>
        <w:rPr>
          <w:szCs w:val="30"/>
          <w:shd w:val="clear" w:color="auto" w:fill="FFFFFF"/>
        </w:rPr>
      </w:pPr>
      <w:r>
        <w:rPr>
          <w:rFonts w:hint="eastAsia"/>
          <w:szCs w:val="30"/>
          <w:shd w:val="clear" w:color="auto" w:fill="FFFFFF"/>
        </w:rPr>
        <w:t>3.《重庆市人民政府办公厅关于印发&lt;重庆市财政专项资金绩效评价管理暂行办法&gt;的通知》(渝办发〔2011〕233号)；</w:t>
      </w:r>
    </w:p>
    <w:p>
      <w:pPr>
        <w:spacing w:line="580" w:lineRule="exact"/>
        <w:ind w:firstLine="600" w:firstLineChars="200"/>
        <w:rPr>
          <w:szCs w:val="30"/>
          <w:shd w:val="clear" w:color="auto" w:fill="FFFFFF"/>
        </w:rPr>
      </w:pPr>
      <w:r>
        <w:rPr>
          <w:rFonts w:hint="eastAsia"/>
          <w:szCs w:val="30"/>
          <w:shd w:val="clear" w:color="auto" w:fill="FFFFFF"/>
        </w:rPr>
        <w:t>4.《中共重庆市委、市人民政府关于全面实施预算绩效管理的实施意见》(渝委发〔2019〕12号)；</w:t>
      </w:r>
    </w:p>
    <w:p>
      <w:pPr>
        <w:spacing w:line="580" w:lineRule="exact"/>
        <w:ind w:firstLine="600" w:firstLineChars="200"/>
        <w:rPr>
          <w:szCs w:val="30"/>
          <w:shd w:val="clear" w:color="auto" w:fill="FFFFFF"/>
        </w:rPr>
      </w:pPr>
      <w:r>
        <w:rPr>
          <w:rFonts w:hint="eastAsia"/>
          <w:szCs w:val="30"/>
          <w:shd w:val="clear" w:color="auto" w:fill="FFFFFF"/>
        </w:rPr>
        <w:t>5.《重庆市财政局关于印发重庆市市级政策和项目预算绩效管理办法（试行）的通知》（渝财绩〔2019〕19号）；</w:t>
      </w:r>
    </w:p>
    <w:p>
      <w:pPr>
        <w:spacing w:line="580" w:lineRule="exact"/>
        <w:ind w:firstLine="600" w:firstLineChars="200"/>
        <w:rPr>
          <w:szCs w:val="30"/>
          <w:shd w:val="clear" w:color="auto" w:fill="FFFFFF"/>
        </w:rPr>
      </w:pPr>
      <w:r>
        <w:rPr>
          <w:rFonts w:hint="eastAsia"/>
          <w:szCs w:val="30"/>
          <w:shd w:val="clear" w:color="auto" w:fill="FFFFFF"/>
        </w:rPr>
        <w:t>6.《重庆市财政局关于印发重庆市抗疫特别国债项目绩效管理办法的通知》（渝财绩〔2020〕15号）；</w:t>
      </w:r>
    </w:p>
    <w:p>
      <w:pPr>
        <w:spacing w:line="580" w:lineRule="exact"/>
        <w:ind w:firstLine="600" w:firstLineChars="200"/>
        <w:rPr>
          <w:szCs w:val="30"/>
          <w:shd w:val="clear" w:color="auto" w:fill="FFFFFF"/>
        </w:rPr>
      </w:pPr>
      <w:r>
        <w:rPr>
          <w:rFonts w:hint="eastAsia"/>
          <w:szCs w:val="30"/>
          <w:shd w:val="clear" w:color="auto" w:fill="FFFFFF"/>
        </w:rPr>
        <w:t>7.《市对区县抗疫特别国债资金管理办法》（渝财预〔2020〕28号）；</w:t>
      </w:r>
    </w:p>
    <w:p>
      <w:pPr>
        <w:spacing w:line="580" w:lineRule="exact"/>
        <w:ind w:firstLine="600" w:firstLineChars="200"/>
        <w:rPr>
          <w:szCs w:val="30"/>
          <w:shd w:val="clear" w:color="auto" w:fill="FFFFFF"/>
        </w:rPr>
      </w:pPr>
      <w:r>
        <w:rPr>
          <w:rFonts w:hint="eastAsia"/>
          <w:szCs w:val="30"/>
          <w:shd w:val="clear" w:color="auto" w:fill="FFFFFF"/>
        </w:rPr>
        <w:t>8.《关于印发重庆市梁平区新型冠状病毒感染的肺炎疫情应急物资管理制度的通知》（梁肺炎应急组发〔2020〕2号）；</w:t>
      </w:r>
    </w:p>
    <w:p>
      <w:pPr>
        <w:spacing w:line="580" w:lineRule="exact"/>
        <w:ind w:firstLine="600" w:firstLineChars="200"/>
        <w:rPr>
          <w:szCs w:val="30"/>
          <w:shd w:val="clear" w:color="auto" w:fill="FFFFFF"/>
        </w:rPr>
      </w:pPr>
      <w:r>
        <w:rPr>
          <w:rFonts w:hint="eastAsia"/>
          <w:szCs w:val="30"/>
          <w:shd w:val="clear" w:color="auto" w:fill="FFFFFF"/>
        </w:rPr>
        <w:t>9.《关于做好梁平区新冠肺炎疫情防控物资资金结算管理工作的通知》（梁平财发〔2020〕49号）；</w:t>
      </w:r>
    </w:p>
    <w:p>
      <w:pPr>
        <w:spacing w:line="580" w:lineRule="exact"/>
        <w:ind w:firstLine="600" w:firstLineChars="200"/>
        <w:rPr>
          <w:szCs w:val="30"/>
          <w:shd w:val="clear" w:color="auto" w:fill="FFFFFF"/>
        </w:rPr>
      </w:pPr>
      <w:r>
        <w:rPr>
          <w:rFonts w:hint="eastAsia"/>
          <w:szCs w:val="30"/>
          <w:shd w:val="clear" w:color="auto" w:fill="FFFFFF"/>
        </w:rPr>
        <w:t>10.本项目实施方案及资金管理办法、财务和会计资料；</w:t>
      </w:r>
    </w:p>
    <w:p>
      <w:pPr>
        <w:spacing w:line="580" w:lineRule="exact"/>
        <w:ind w:firstLine="600" w:firstLineChars="200"/>
        <w:rPr>
          <w:szCs w:val="30"/>
          <w:shd w:val="clear" w:color="auto" w:fill="FFFFFF"/>
        </w:rPr>
      </w:pPr>
      <w:r>
        <w:rPr>
          <w:rFonts w:hint="eastAsia"/>
          <w:szCs w:val="30"/>
          <w:shd w:val="clear" w:color="auto" w:fill="FFFFFF"/>
        </w:rPr>
        <w:t>11.其他相关法规、文件；</w:t>
      </w:r>
    </w:p>
    <w:p>
      <w:pPr>
        <w:spacing w:line="580" w:lineRule="exact"/>
        <w:ind w:firstLine="600" w:firstLineChars="200"/>
        <w:rPr>
          <w:szCs w:val="30"/>
          <w:shd w:val="clear" w:color="auto" w:fill="FFFFFF"/>
        </w:rPr>
      </w:pPr>
      <w:r>
        <w:rPr>
          <w:rFonts w:hint="eastAsia"/>
          <w:szCs w:val="30"/>
          <w:shd w:val="clear" w:color="auto" w:fill="FFFFFF"/>
        </w:rPr>
        <w:t>12.其他与项目相关的文件资料。</w:t>
      </w:r>
    </w:p>
    <w:p>
      <w:pPr>
        <w:spacing w:line="580" w:lineRule="exact"/>
        <w:ind w:firstLine="600" w:firstLineChars="200"/>
        <w:outlineLvl w:val="1"/>
        <w:rPr>
          <w:rFonts w:ascii="楷体" w:hAnsi="楷体" w:eastAsia="楷体" w:cs="楷体"/>
          <w:szCs w:val="30"/>
          <w:shd w:val="clear" w:color="auto" w:fill="FFFFFF" w:themeFill="background1"/>
        </w:rPr>
      </w:pPr>
      <w:bookmarkStart w:id="45" w:name="_Toc19954"/>
      <w:bookmarkStart w:id="46" w:name="_Toc19727"/>
      <w:r>
        <w:rPr>
          <w:rFonts w:hint="eastAsia" w:ascii="楷体" w:hAnsi="楷体" w:eastAsia="楷体" w:cs="楷体"/>
          <w:szCs w:val="30"/>
          <w:shd w:val="clear" w:color="auto" w:fill="FFFFFF" w:themeFill="background1"/>
        </w:rPr>
        <w:t>（三）绩效评价原则标准</w:t>
      </w:r>
      <w:bookmarkEnd w:id="45"/>
      <w:bookmarkEnd w:id="46"/>
    </w:p>
    <w:p>
      <w:pPr>
        <w:widowControl/>
        <w:spacing w:line="580" w:lineRule="exact"/>
        <w:ind w:firstLine="600" w:firstLineChars="200"/>
        <w:rPr>
          <w:szCs w:val="30"/>
          <w:shd w:val="clear" w:color="auto" w:fill="FFFFFF"/>
        </w:rPr>
      </w:pPr>
      <w:r>
        <w:rPr>
          <w:rFonts w:hint="eastAsia"/>
          <w:szCs w:val="30"/>
          <w:shd w:val="clear" w:color="auto" w:fill="FFFFFF"/>
        </w:rPr>
        <w:t>评价工作秉承科学规范、客观公正、依据充分、成本效益的原则，采取计划标准、行业标准、历史标准相结合的方式开展绩效评价。</w:t>
      </w:r>
    </w:p>
    <w:p>
      <w:pPr>
        <w:spacing w:line="580" w:lineRule="exact"/>
        <w:ind w:firstLine="600" w:firstLineChars="200"/>
        <w:rPr>
          <w:rFonts w:cs="仿宋"/>
          <w:szCs w:val="30"/>
          <w:shd w:val="clear" w:color="auto" w:fill="FFFFFF" w:themeFill="background1"/>
        </w:rPr>
      </w:pPr>
      <w:bookmarkStart w:id="47" w:name="_Toc12023"/>
      <w:r>
        <w:rPr>
          <w:rFonts w:hint="eastAsia" w:cs="仿宋"/>
          <w:szCs w:val="30"/>
          <w:shd w:val="clear" w:color="auto" w:fill="FFFFFF" w:themeFill="background1"/>
        </w:rPr>
        <w:t>1.绩效评价原则</w:t>
      </w:r>
      <w:bookmarkEnd w:id="47"/>
    </w:p>
    <w:p>
      <w:pPr>
        <w:widowControl/>
        <w:spacing w:line="580" w:lineRule="exact"/>
        <w:ind w:firstLine="600" w:firstLineChars="200"/>
        <w:rPr>
          <w:szCs w:val="30"/>
          <w:shd w:val="clear" w:color="auto" w:fill="FFFFFF"/>
        </w:rPr>
      </w:pPr>
      <w:r>
        <w:rPr>
          <w:rFonts w:hint="eastAsia"/>
          <w:szCs w:val="30"/>
          <w:shd w:val="clear" w:color="auto" w:fill="FFFFFF"/>
        </w:rPr>
        <w:t>科学规范原则。评价工作应通过规范的程序，采用定性与定量相结合的评价方法，科学、合理地进行。</w:t>
      </w:r>
    </w:p>
    <w:p>
      <w:pPr>
        <w:widowControl/>
        <w:spacing w:line="580" w:lineRule="exact"/>
        <w:ind w:firstLine="600" w:firstLineChars="200"/>
        <w:rPr>
          <w:szCs w:val="30"/>
          <w:shd w:val="clear" w:color="auto" w:fill="FFFFFF"/>
        </w:rPr>
      </w:pPr>
      <w:r>
        <w:rPr>
          <w:rFonts w:hint="eastAsia"/>
          <w:szCs w:val="30"/>
          <w:shd w:val="clear" w:color="auto" w:fill="FFFFFF"/>
        </w:rPr>
        <w:t>客观公正原则。评价应以相关法律、法规、规章以及财政部门有关文件等为依据，按照</w:t>
      </w:r>
      <w:r>
        <w:rPr>
          <w:rFonts w:hint="cs"/>
          <w:szCs w:val="30"/>
          <w:shd w:val="clear" w:color="auto" w:fill="FFFFFF"/>
        </w:rPr>
        <w:t>“</w:t>
      </w:r>
      <w:r>
        <w:rPr>
          <w:rFonts w:hint="eastAsia"/>
          <w:szCs w:val="30"/>
          <w:shd w:val="clear" w:color="auto" w:fill="FFFFFF"/>
        </w:rPr>
        <w:t>公开、公平、公正</w:t>
      </w:r>
      <w:r>
        <w:rPr>
          <w:rFonts w:hint="cs"/>
          <w:szCs w:val="30"/>
          <w:shd w:val="clear" w:color="auto" w:fill="FFFFFF"/>
        </w:rPr>
        <w:t>”</w:t>
      </w:r>
      <w:r>
        <w:rPr>
          <w:rFonts w:hint="eastAsia"/>
          <w:szCs w:val="30"/>
          <w:shd w:val="clear" w:color="auto" w:fill="FFFFFF"/>
        </w:rPr>
        <w:t>的原则进行。</w:t>
      </w:r>
    </w:p>
    <w:p>
      <w:pPr>
        <w:widowControl/>
        <w:spacing w:line="580" w:lineRule="exact"/>
        <w:ind w:firstLine="600" w:firstLineChars="200"/>
        <w:rPr>
          <w:szCs w:val="30"/>
          <w:shd w:val="clear" w:color="auto" w:fill="FFFFFF"/>
        </w:rPr>
      </w:pPr>
      <w:r>
        <w:rPr>
          <w:rFonts w:hint="eastAsia"/>
          <w:szCs w:val="30"/>
          <w:shd w:val="clear" w:color="auto" w:fill="FFFFFF"/>
        </w:rPr>
        <w:t>依据充分原则。在评价过程中，应收集足够的相关文件及资料，并要通过现场调研，为评价结论提供充分的依据支持。</w:t>
      </w:r>
    </w:p>
    <w:p>
      <w:pPr>
        <w:widowControl/>
        <w:spacing w:line="580" w:lineRule="exact"/>
        <w:ind w:firstLine="600" w:firstLineChars="200"/>
        <w:rPr>
          <w:szCs w:val="30"/>
          <w:shd w:val="clear" w:color="auto" w:fill="FFFFFF"/>
        </w:rPr>
      </w:pPr>
      <w:r>
        <w:rPr>
          <w:rFonts w:hint="eastAsia"/>
          <w:szCs w:val="30"/>
          <w:shd w:val="clear" w:color="auto" w:fill="FFFFFF"/>
        </w:rPr>
        <w:t>成本效益原则。评价工作的重点是评价项目立项的合理性和预算的准确性，在开展评价工作过程中，要注意控制成本、节约经费，提高评价工作的效率和效益。</w:t>
      </w:r>
    </w:p>
    <w:p>
      <w:pPr>
        <w:spacing w:line="580" w:lineRule="exact"/>
        <w:ind w:firstLine="600" w:firstLineChars="200"/>
        <w:rPr>
          <w:rFonts w:cs="仿宋"/>
          <w:szCs w:val="30"/>
          <w:shd w:val="clear" w:color="auto" w:fill="FFFFFF" w:themeFill="background1"/>
        </w:rPr>
      </w:pPr>
      <w:bookmarkStart w:id="48" w:name="_Toc21048"/>
      <w:r>
        <w:rPr>
          <w:rFonts w:hint="eastAsia" w:cs="仿宋"/>
          <w:szCs w:val="30"/>
          <w:shd w:val="clear" w:color="auto" w:fill="FFFFFF" w:themeFill="background1"/>
        </w:rPr>
        <w:t>2.绩效评价标准</w:t>
      </w:r>
      <w:bookmarkEnd w:id="48"/>
    </w:p>
    <w:p>
      <w:pPr>
        <w:widowControl/>
        <w:spacing w:line="580" w:lineRule="exact"/>
        <w:ind w:firstLine="600" w:firstLineChars="200"/>
        <w:jc w:val="left"/>
        <w:rPr>
          <w:szCs w:val="30"/>
          <w:shd w:val="clear" w:color="auto" w:fill="FFFFFF"/>
        </w:rPr>
      </w:pPr>
      <w:r>
        <w:rPr>
          <w:rFonts w:hint="eastAsia"/>
          <w:szCs w:val="30"/>
          <w:shd w:val="clear" w:color="auto" w:fill="FFFFFF"/>
        </w:rPr>
        <w:t>计划标准，指以预先制定的目标、计划、预算、定额等作为评价标准。</w:t>
      </w:r>
    </w:p>
    <w:p>
      <w:pPr>
        <w:widowControl/>
        <w:spacing w:line="580" w:lineRule="exact"/>
        <w:ind w:firstLine="600" w:firstLineChars="200"/>
        <w:jc w:val="left"/>
        <w:rPr>
          <w:szCs w:val="30"/>
          <w:shd w:val="clear" w:color="auto" w:fill="FFFFFF"/>
        </w:rPr>
      </w:pPr>
      <w:r>
        <w:rPr>
          <w:rFonts w:hint="eastAsia"/>
          <w:szCs w:val="30"/>
          <w:shd w:val="clear" w:color="auto" w:fill="FFFFFF"/>
        </w:rPr>
        <w:t>行业标准，指参照国家公布的行业指标数据制定的评价标准。</w:t>
      </w:r>
    </w:p>
    <w:p>
      <w:pPr>
        <w:widowControl/>
        <w:spacing w:line="580" w:lineRule="exact"/>
        <w:ind w:firstLine="600" w:firstLineChars="200"/>
        <w:jc w:val="left"/>
        <w:rPr>
          <w:szCs w:val="30"/>
          <w:shd w:val="clear" w:color="auto" w:fill="FFFFFF"/>
        </w:rPr>
      </w:pPr>
      <w:r>
        <w:rPr>
          <w:rFonts w:hint="eastAsia"/>
          <w:szCs w:val="30"/>
          <w:shd w:val="clear" w:color="auto" w:fill="FFFFFF"/>
        </w:rPr>
        <w:t>历史标准，指参照历史数据制定的评价标准。</w:t>
      </w:r>
    </w:p>
    <w:p>
      <w:pPr>
        <w:spacing w:line="580" w:lineRule="exact"/>
        <w:ind w:firstLine="600" w:firstLineChars="200"/>
        <w:outlineLvl w:val="1"/>
        <w:rPr>
          <w:rFonts w:ascii="楷体" w:hAnsi="楷体" w:eastAsia="楷体"/>
          <w:szCs w:val="30"/>
          <w:shd w:val="clear" w:color="auto" w:fill="FFFFFF" w:themeFill="background1"/>
        </w:rPr>
      </w:pPr>
      <w:bookmarkStart w:id="49" w:name="_Toc42503807"/>
      <w:bookmarkStart w:id="50" w:name="_Toc26157"/>
      <w:bookmarkStart w:id="51" w:name="_Toc28087"/>
      <w:r>
        <w:rPr>
          <w:rFonts w:hint="eastAsia" w:ascii="楷体" w:hAnsi="楷体" w:eastAsia="楷体"/>
          <w:szCs w:val="30"/>
          <w:shd w:val="clear" w:color="auto" w:fill="FFFFFF" w:themeFill="background1"/>
        </w:rPr>
        <w:t>（四）绩效评价组织管理</w:t>
      </w:r>
      <w:bookmarkEnd w:id="49"/>
      <w:bookmarkEnd w:id="50"/>
      <w:bookmarkEnd w:id="51"/>
    </w:p>
    <w:p>
      <w:pPr>
        <w:widowControl/>
        <w:spacing w:line="580" w:lineRule="exact"/>
        <w:ind w:firstLine="600" w:firstLineChars="200"/>
        <w:jc w:val="left"/>
        <w:rPr>
          <w:szCs w:val="30"/>
          <w:shd w:val="clear" w:color="auto" w:fill="FFFFFF"/>
        </w:rPr>
      </w:pPr>
      <w:r>
        <w:rPr>
          <w:rFonts w:hint="eastAsia"/>
          <w:szCs w:val="30"/>
          <w:shd w:val="clear" w:color="auto" w:fill="FFFFFF"/>
        </w:rPr>
        <w:t>本次评价工作由梁平区财政局统一组织牵头，委托云南云岭工程造价咨询有限公司进行项目的具体评价实施。</w:t>
      </w:r>
    </w:p>
    <w:p>
      <w:pPr>
        <w:spacing w:line="580" w:lineRule="exact"/>
        <w:ind w:firstLine="600" w:firstLineChars="200"/>
        <w:outlineLvl w:val="1"/>
        <w:rPr>
          <w:rFonts w:ascii="楷体" w:hAnsi="楷体" w:eastAsia="楷体"/>
          <w:szCs w:val="30"/>
          <w:shd w:val="clear" w:color="auto" w:fill="FFFFFF" w:themeFill="background1"/>
        </w:rPr>
      </w:pPr>
      <w:bookmarkStart w:id="52" w:name="_Toc42503808"/>
      <w:bookmarkStart w:id="53" w:name="_Toc11083"/>
      <w:bookmarkStart w:id="54" w:name="_Toc10983"/>
      <w:r>
        <w:rPr>
          <w:rFonts w:hint="eastAsia" w:ascii="楷体" w:hAnsi="楷体" w:eastAsia="楷体"/>
          <w:szCs w:val="30"/>
          <w:shd w:val="clear" w:color="auto" w:fill="FFFFFF" w:themeFill="background1"/>
        </w:rPr>
        <w:t>（五）重点评价内容</w:t>
      </w:r>
      <w:bookmarkEnd w:id="52"/>
      <w:bookmarkEnd w:id="53"/>
      <w:bookmarkEnd w:id="54"/>
    </w:p>
    <w:p>
      <w:pPr>
        <w:tabs>
          <w:tab w:val="left" w:pos="8100"/>
          <w:tab w:val="right" w:leader="middleDot" w:pos="9645"/>
        </w:tabs>
        <w:adjustRightInd w:val="0"/>
        <w:snapToGrid w:val="0"/>
        <w:spacing w:line="580" w:lineRule="exact"/>
        <w:ind w:firstLine="600" w:firstLineChars="200"/>
        <w:rPr>
          <w:rFonts w:ascii="宋体" w:hAnsi="宋体" w:eastAsia="宋体"/>
          <w:sz w:val="24"/>
        </w:rPr>
      </w:pPr>
      <w:r>
        <w:rPr>
          <w:rFonts w:hint="eastAsia"/>
          <w:szCs w:val="30"/>
          <w:shd w:val="clear" w:color="auto" w:fill="FFFFFF"/>
        </w:rPr>
        <w:t>本次评价以防疫物资采购项目的资金管理、项目产出情况、项目实施效果为重点评价内容。</w:t>
      </w:r>
    </w:p>
    <w:p>
      <w:pPr>
        <w:spacing w:line="580" w:lineRule="exact"/>
        <w:ind w:firstLine="600" w:firstLineChars="200"/>
        <w:outlineLvl w:val="1"/>
        <w:rPr>
          <w:rFonts w:ascii="楷体" w:hAnsi="楷体" w:eastAsia="楷体"/>
          <w:szCs w:val="30"/>
          <w:shd w:val="clear" w:color="auto" w:fill="FFFFFF" w:themeFill="background1"/>
        </w:rPr>
      </w:pPr>
      <w:bookmarkStart w:id="55" w:name="_Toc8563"/>
      <w:bookmarkStart w:id="56" w:name="_Toc9728"/>
      <w:bookmarkStart w:id="57" w:name="_Toc42503809"/>
      <w:r>
        <w:rPr>
          <w:rFonts w:hint="eastAsia" w:ascii="楷体" w:hAnsi="楷体" w:eastAsia="楷体"/>
          <w:szCs w:val="30"/>
          <w:shd w:val="clear" w:color="auto" w:fill="FFFFFF" w:themeFill="background1"/>
        </w:rPr>
        <w:t>（六）绩效评价指标体系</w:t>
      </w:r>
      <w:bookmarkEnd w:id="55"/>
      <w:bookmarkEnd w:id="56"/>
      <w:bookmarkEnd w:id="57"/>
    </w:p>
    <w:p>
      <w:pPr>
        <w:tabs>
          <w:tab w:val="left" w:pos="8100"/>
          <w:tab w:val="right" w:leader="middleDot" w:pos="9645"/>
        </w:tabs>
        <w:adjustRightInd w:val="0"/>
        <w:snapToGrid w:val="0"/>
        <w:spacing w:line="580" w:lineRule="exact"/>
        <w:ind w:firstLine="600" w:firstLineChars="200"/>
        <w:rPr>
          <w:szCs w:val="30"/>
          <w:shd w:val="clear" w:color="auto" w:fill="FFFFFF"/>
        </w:rPr>
      </w:pPr>
      <w:r>
        <w:rPr>
          <w:rFonts w:hint="eastAsia"/>
          <w:szCs w:val="30"/>
          <w:shd w:val="clear" w:color="auto" w:fill="FFFFFF"/>
        </w:rPr>
        <w:t>根据评价目的和原则，结合防疫物资采购项目特点，在与区级相关部门充分交流、讨论、征求意见的基础上，形成防疫物资采购项目绩效评价指标体系，该指标体系由四级指标构成，其中：一级指标4个、二级指标10个、三级指标20个、四级指标（细项指标）39个。一级指标及分值构成如下：</w:t>
      </w:r>
    </w:p>
    <w:tbl>
      <w:tblPr>
        <w:tblStyle w:val="11"/>
        <w:tblW w:w="7938" w:type="dxa"/>
        <w:jc w:val="center"/>
        <w:tblBorders>
          <w:top w:val="single" w:color="000000" w:sz="12" w:space="0"/>
          <w:left w:val="none" w:color="auto" w:sz="0" w:space="0"/>
          <w:bottom w:val="single" w:color="000000" w:sz="12" w:space="0"/>
          <w:right w:val="none" w:color="auto" w:sz="0" w:space="0"/>
          <w:insideH w:val="single" w:color="000000" w:sz="12" w:space="0"/>
          <w:insideV w:val="none" w:color="auto" w:sz="0" w:space="0"/>
        </w:tblBorders>
        <w:tblLayout w:type="fixed"/>
        <w:tblCellMar>
          <w:top w:w="0" w:type="dxa"/>
          <w:left w:w="108" w:type="dxa"/>
          <w:bottom w:w="0" w:type="dxa"/>
          <w:right w:w="108" w:type="dxa"/>
        </w:tblCellMar>
      </w:tblPr>
      <w:tblGrid>
        <w:gridCol w:w="1659"/>
        <w:gridCol w:w="1134"/>
        <w:gridCol w:w="1134"/>
        <w:gridCol w:w="1418"/>
        <w:gridCol w:w="1134"/>
        <w:gridCol w:w="1459"/>
      </w:tblGrid>
      <w:tr>
        <w:tblPrEx>
          <w:tblBorders>
            <w:top w:val="single" w:color="000000" w:sz="12" w:space="0"/>
            <w:left w:val="none" w:color="auto" w:sz="0" w:space="0"/>
            <w:bottom w:val="single" w:color="000000" w:sz="12" w:space="0"/>
            <w:right w:val="none" w:color="auto" w:sz="0" w:space="0"/>
            <w:insideH w:val="single" w:color="000000" w:sz="12" w:space="0"/>
            <w:insideV w:val="none" w:color="auto" w:sz="0" w:space="0"/>
          </w:tblBorders>
          <w:tblCellMar>
            <w:top w:w="0" w:type="dxa"/>
            <w:left w:w="108" w:type="dxa"/>
            <w:bottom w:w="0" w:type="dxa"/>
            <w:right w:w="108" w:type="dxa"/>
          </w:tblCellMar>
        </w:tblPrEx>
        <w:trPr>
          <w:trHeight w:val="624" w:hRule="atLeast"/>
          <w:jc w:val="center"/>
        </w:trPr>
        <w:tc>
          <w:tcPr>
            <w:tcW w:w="1659" w:type="dxa"/>
            <w:vAlign w:val="center"/>
          </w:tcPr>
          <w:p>
            <w:pPr>
              <w:adjustRightInd w:val="0"/>
              <w:snapToGrid w:val="0"/>
              <w:jc w:val="center"/>
              <w:rPr>
                <w:b/>
                <w:bCs/>
                <w:sz w:val="24"/>
                <w:szCs w:val="24"/>
              </w:rPr>
            </w:pPr>
            <w:r>
              <w:rPr>
                <w:rFonts w:hint="eastAsia"/>
                <w:b/>
                <w:bCs/>
                <w:sz w:val="24"/>
                <w:szCs w:val="24"/>
              </w:rPr>
              <w:t>一级指标</w:t>
            </w:r>
          </w:p>
        </w:tc>
        <w:tc>
          <w:tcPr>
            <w:tcW w:w="1134" w:type="dxa"/>
            <w:vAlign w:val="center"/>
          </w:tcPr>
          <w:p>
            <w:pPr>
              <w:adjustRightInd w:val="0"/>
              <w:snapToGrid w:val="0"/>
              <w:jc w:val="center"/>
              <w:rPr>
                <w:b/>
                <w:bCs/>
                <w:sz w:val="24"/>
                <w:szCs w:val="24"/>
              </w:rPr>
            </w:pPr>
            <w:r>
              <w:rPr>
                <w:rFonts w:hint="eastAsia"/>
                <w:b/>
                <w:bCs/>
                <w:sz w:val="24"/>
                <w:szCs w:val="24"/>
              </w:rPr>
              <w:t>投入</w:t>
            </w:r>
          </w:p>
        </w:tc>
        <w:tc>
          <w:tcPr>
            <w:tcW w:w="1134" w:type="dxa"/>
            <w:vAlign w:val="center"/>
          </w:tcPr>
          <w:p>
            <w:pPr>
              <w:adjustRightInd w:val="0"/>
              <w:snapToGrid w:val="0"/>
              <w:jc w:val="center"/>
              <w:rPr>
                <w:b/>
                <w:bCs/>
                <w:sz w:val="24"/>
                <w:szCs w:val="24"/>
              </w:rPr>
            </w:pPr>
            <w:r>
              <w:rPr>
                <w:rFonts w:hint="eastAsia"/>
                <w:b/>
                <w:bCs/>
                <w:sz w:val="24"/>
                <w:szCs w:val="24"/>
              </w:rPr>
              <w:t>管理</w:t>
            </w:r>
          </w:p>
        </w:tc>
        <w:tc>
          <w:tcPr>
            <w:tcW w:w="1418" w:type="dxa"/>
            <w:vAlign w:val="center"/>
          </w:tcPr>
          <w:p>
            <w:pPr>
              <w:adjustRightInd w:val="0"/>
              <w:snapToGrid w:val="0"/>
              <w:jc w:val="center"/>
              <w:rPr>
                <w:b/>
                <w:bCs/>
                <w:sz w:val="24"/>
                <w:szCs w:val="24"/>
              </w:rPr>
            </w:pPr>
            <w:r>
              <w:rPr>
                <w:rFonts w:hint="eastAsia"/>
                <w:b/>
                <w:bCs/>
                <w:sz w:val="24"/>
                <w:szCs w:val="24"/>
              </w:rPr>
              <w:t>产出</w:t>
            </w:r>
          </w:p>
        </w:tc>
        <w:tc>
          <w:tcPr>
            <w:tcW w:w="1134" w:type="dxa"/>
            <w:vAlign w:val="center"/>
          </w:tcPr>
          <w:p>
            <w:pPr>
              <w:adjustRightInd w:val="0"/>
              <w:snapToGrid w:val="0"/>
              <w:jc w:val="center"/>
              <w:rPr>
                <w:b/>
                <w:bCs/>
                <w:sz w:val="24"/>
                <w:szCs w:val="24"/>
              </w:rPr>
            </w:pPr>
            <w:r>
              <w:rPr>
                <w:rFonts w:hint="eastAsia"/>
                <w:b/>
                <w:bCs/>
                <w:sz w:val="24"/>
                <w:szCs w:val="24"/>
              </w:rPr>
              <w:t>效果</w:t>
            </w:r>
          </w:p>
        </w:tc>
        <w:tc>
          <w:tcPr>
            <w:tcW w:w="1459" w:type="dxa"/>
            <w:vAlign w:val="center"/>
          </w:tcPr>
          <w:p>
            <w:pPr>
              <w:adjustRightInd w:val="0"/>
              <w:snapToGrid w:val="0"/>
              <w:jc w:val="center"/>
              <w:rPr>
                <w:b/>
                <w:bCs/>
                <w:sz w:val="24"/>
                <w:szCs w:val="24"/>
              </w:rPr>
            </w:pPr>
            <w:r>
              <w:rPr>
                <w:rFonts w:hint="eastAsia"/>
                <w:b/>
                <w:bCs/>
                <w:sz w:val="24"/>
                <w:szCs w:val="24"/>
              </w:rPr>
              <w:t>合计</w:t>
            </w:r>
          </w:p>
        </w:tc>
      </w:tr>
      <w:tr>
        <w:tblPrEx>
          <w:tblBorders>
            <w:top w:val="single" w:color="000000" w:sz="12" w:space="0"/>
            <w:left w:val="none" w:color="auto" w:sz="0" w:space="0"/>
            <w:bottom w:val="single" w:color="000000" w:sz="12" w:space="0"/>
            <w:right w:val="none" w:color="auto" w:sz="0" w:space="0"/>
            <w:insideH w:val="single" w:color="000000" w:sz="12" w:space="0"/>
            <w:insideV w:val="none" w:color="auto" w:sz="0" w:space="0"/>
          </w:tblBorders>
          <w:tblCellMar>
            <w:top w:w="0" w:type="dxa"/>
            <w:left w:w="108" w:type="dxa"/>
            <w:bottom w:w="0" w:type="dxa"/>
            <w:right w:w="108" w:type="dxa"/>
          </w:tblCellMar>
        </w:tblPrEx>
        <w:trPr>
          <w:trHeight w:val="624" w:hRule="atLeast"/>
          <w:jc w:val="center"/>
        </w:trPr>
        <w:tc>
          <w:tcPr>
            <w:tcW w:w="1659" w:type="dxa"/>
            <w:vAlign w:val="center"/>
          </w:tcPr>
          <w:p>
            <w:pPr>
              <w:adjustRightInd w:val="0"/>
              <w:snapToGrid w:val="0"/>
              <w:ind w:firstLine="120" w:firstLineChars="50"/>
              <w:jc w:val="center"/>
              <w:rPr>
                <w:b/>
                <w:bCs/>
                <w:sz w:val="24"/>
                <w:szCs w:val="24"/>
              </w:rPr>
            </w:pPr>
            <w:r>
              <w:rPr>
                <w:rFonts w:hint="eastAsia"/>
                <w:b/>
                <w:bCs/>
                <w:sz w:val="24"/>
                <w:szCs w:val="24"/>
              </w:rPr>
              <w:t>分   值</w:t>
            </w:r>
          </w:p>
        </w:tc>
        <w:tc>
          <w:tcPr>
            <w:tcW w:w="1134" w:type="dxa"/>
            <w:vAlign w:val="center"/>
          </w:tcPr>
          <w:p>
            <w:pPr>
              <w:adjustRightInd w:val="0"/>
              <w:snapToGrid w:val="0"/>
              <w:jc w:val="center"/>
              <w:rPr>
                <w:b/>
                <w:bCs/>
                <w:sz w:val="24"/>
                <w:szCs w:val="24"/>
              </w:rPr>
            </w:pPr>
            <w:r>
              <w:rPr>
                <w:b/>
                <w:bCs/>
                <w:sz w:val="24"/>
                <w:szCs w:val="24"/>
              </w:rPr>
              <w:t>2</w:t>
            </w:r>
            <w:r>
              <w:rPr>
                <w:rFonts w:hint="eastAsia"/>
                <w:b/>
                <w:bCs/>
                <w:sz w:val="24"/>
                <w:szCs w:val="24"/>
              </w:rPr>
              <w:t>0</w:t>
            </w:r>
          </w:p>
        </w:tc>
        <w:tc>
          <w:tcPr>
            <w:tcW w:w="1134" w:type="dxa"/>
            <w:vAlign w:val="center"/>
          </w:tcPr>
          <w:p>
            <w:pPr>
              <w:adjustRightInd w:val="0"/>
              <w:snapToGrid w:val="0"/>
              <w:jc w:val="center"/>
              <w:rPr>
                <w:b/>
                <w:bCs/>
                <w:sz w:val="24"/>
                <w:szCs w:val="24"/>
              </w:rPr>
            </w:pPr>
            <w:r>
              <w:rPr>
                <w:b/>
                <w:bCs/>
                <w:sz w:val="24"/>
                <w:szCs w:val="24"/>
              </w:rPr>
              <w:t>2</w:t>
            </w:r>
            <w:r>
              <w:rPr>
                <w:rFonts w:hint="eastAsia"/>
                <w:b/>
                <w:bCs/>
                <w:sz w:val="24"/>
                <w:szCs w:val="24"/>
              </w:rPr>
              <w:t>0</w:t>
            </w:r>
          </w:p>
        </w:tc>
        <w:tc>
          <w:tcPr>
            <w:tcW w:w="1418" w:type="dxa"/>
            <w:vAlign w:val="center"/>
          </w:tcPr>
          <w:p>
            <w:pPr>
              <w:adjustRightInd w:val="0"/>
              <w:snapToGrid w:val="0"/>
              <w:jc w:val="center"/>
              <w:rPr>
                <w:b/>
                <w:bCs/>
                <w:sz w:val="24"/>
                <w:szCs w:val="24"/>
              </w:rPr>
            </w:pPr>
            <w:r>
              <w:rPr>
                <w:b/>
                <w:bCs/>
                <w:sz w:val="24"/>
                <w:szCs w:val="24"/>
              </w:rPr>
              <w:t>3</w:t>
            </w:r>
            <w:r>
              <w:rPr>
                <w:rFonts w:hint="eastAsia"/>
                <w:b/>
                <w:bCs/>
                <w:sz w:val="24"/>
                <w:szCs w:val="24"/>
              </w:rPr>
              <w:t>0</w:t>
            </w:r>
          </w:p>
        </w:tc>
        <w:tc>
          <w:tcPr>
            <w:tcW w:w="1134" w:type="dxa"/>
            <w:vAlign w:val="center"/>
          </w:tcPr>
          <w:p>
            <w:pPr>
              <w:adjustRightInd w:val="0"/>
              <w:snapToGrid w:val="0"/>
              <w:jc w:val="center"/>
              <w:rPr>
                <w:b/>
                <w:bCs/>
                <w:sz w:val="24"/>
                <w:szCs w:val="24"/>
              </w:rPr>
            </w:pPr>
            <w:r>
              <w:rPr>
                <w:rFonts w:hint="eastAsia"/>
                <w:b/>
                <w:bCs/>
                <w:sz w:val="24"/>
                <w:szCs w:val="24"/>
              </w:rPr>
              <w:t>30</w:t>
            </w:r>
          </w:p>
        </w:tc>
        <w:tc>
          <w:tcPr>
            <w:tcW w:w="1459" w:type="dxa"/>
            <w:vAlign w:val="center"/>
          </w:tcPr>
          <w:p>
            <w:pPr>
              <w:adjustRightInd w:val="0"/>
              <w:snapToGrid w:val="0"/>
              <w:jc w:val="center"/>
              <w:rPr>
                <w:b/>
                <w:bCs/>
                <w:sz w:val="24"/>
                <w:szCs w:val="24"/>
              </w:rPr>
            </w:pPr>
            <w:r>
              <w:rPr>
                <w:b/>
                <w:bCs/>
                <w:sz w:val="24"/>
                <w:szCs w:val="24"/>
              </w:rPr>
              <w:t>100</w:t>
            </w:r>
          </w:p>
        </w:tc>
      </w:tr>
    </w:tbl>
    <w:p>
      <w:pPr>
        <w:spacing w:line="580" w:lineRule="exact"/>
        <w:ind w:firstLine="600" w:firstLineChars="200"/>
        <w:rPr>
          <w:szCs w:val="30"/>
          <w:shd w:val="clear" w:color="auto" w:fill="FFFFFF"/>
        </w:rPr>
      </w:pPr>
      <w:r>
        <w:rPr>
          <w:rFonts w:hint="eastAsia"/>
          <w:szCs w:val="30"/>
          <w:shd w:val="clear" w:color="auto" w:fill="FFFFFF"/>
        </w:rPr>
        <w:t>具体指标体系，详见附件1。</w:t>
      </w:r>
    </w:p>
    <w:p>
      <w:pPr>
        <w:widowControl/>
        <w:spacing w:line="600" w:lineRule="exact"/>
        <w:ind w:firstLine="600" w:firstLineChars="200"/>
        <w:rPr>
          <w:color w:val="000000"/>
          <w:szCs w:val="30"/>
          <w:shd w:val="clear" w:color="auto" w:fill="FFFFFF"/>
        </w:rPr>
      </w:pPr>
      <w:r>
        <w:rPr>
          <w:rFonts w:hint="eastAsia"/>
          <w:color w:val="000000"/>
          <w:szCs w:val="30"/>
          <w:shd w:val="clear" w:color="auto" w:fill="FFFFFF"/>
        </w:rPr>
        <w:t>绩效评价实行100分制，评价结果设四个等级：优（≥90分）、良（≥80分，＜90分）、中（≥60分，＜80分）、差（＜60分）。</w:t>
      </w:r>
    </w:p>
    <w:p>
      <w:pPr>
        <w:spacing w:line="580" w:lineRule="exact"/>
        <w:ind w:firstLine="600" w:firstLineChars="200"/>
        <w:outlineLvl w:val="1"/>
        <w:rPr>
          <w:rFonts w:ascii="楷体" w:hAnsi="楷体" w:eastAsia="楷体"/>
          <w:szCs w:val="30"/>
          <w:shd w:val="clear" w:color="auto" w:fill="FFFFFF" w:themeFill="background1"/>
        </w:rPr>
      </w:pPr>
      <w:bookmarkStart w:id="58" w:name="_Toc14247"/>
      <w:bookmarkStart w:id="59" w:name="_Toc24995"/>
      <w:r>
        <w:rPr>
          <w:rFonts w:hint="eastAsia" w:ascii="楷体" w:hAnsi="楷体" w:eastAsia="楷体"/>
          <w:szCs w:val="30"/>
          <w:shd w:val="clear" w:color="auto" w:fill="FFFFFF" w:themeFill="background1"/>
        </w:rPr>
        <w:t>（七）绩效评价方法</w:t>
      </w:r>
      <w:bookmarkEnd w:id="58"/>
      <w:bookmarkEnd w:id="59"/>
    </w:p>
    <w:p>
      <w:pPr>
        <w:widowControl/>
        <w:spacing w:line="580" w:lineRule="exact"/>
        <w:ind w:firstLine="600" w:firstLineChars="200"/>
        <w:jc w:val="left"/>
        <w:rPr>
          <w:szCs w:val="30"/>
          <w:shd w:val="clear" w:color="auto" w:fill="FFFFFF"/>
        </w:rPr>
      </w:pPr>
      <w:r>
        <w:rPr>
          <w:rFonts w:hint="eastAsia"/>
          <w:szCs w:val="30"/>
          <w:shd w:val="clear" w:color="auto" w:fill="FFFFFF"/>
        </w:rPr>
        <w:t>本次评价采取现场抽查和非现场评价相结合的方式实施评价，具体采用审阅核对、公众调查、询问查证、问卷调查等评价方法。</w:t>
      </w:r>
    </w:p>
    <w:p>
      <w:pPr>
        <w:widowControl/>
        <w:spacing w:line="580" w:lineRule="exact"/>
        <w:ind w:firstLine="600" w:firstLineChars="200"/>
        <w:jc w:val="left"/>
        <w:rPr>
          <w:szCs w:val="30"/>
          <w:shd w:val="clear" w:color="auto" w:fill="FFFFFF"/>
        </w:rPr>
      </w:pPr>
      <w:r>
        <w:rPr>
          <w:rFonts w:hint="eastAsia"/>
          <w:szCs w:val="30"/>
          <w:shd w:val="clear" w:color="auto" w:fill="FFFFFF"/>
        </w:rPr>
        <w:t>本次评价，评价小组重点向梁平区经信委防疫物资采购管理人员、各镇街政府疫情期间防疫管理部门负责人、防疫物资使用人等共发放问卷56份，回收有效问卷56份。</w:t>
      </w:r>
    </w:p>
    <w:p>
      <w:pPr>
        <w:spacing w:line="580" w:lineRule="exact"/>
        <w:ind w:firstLine="600" w:firstLineChars="200"/>
        <w:outlineLvl w:val="1"/>
        <w:rPr>
          <w:rFonts w:ascii="楷体" w:hAnsi="楷体" w:eastAsia="楷体"/>
          <w:szCs w:val="30"/>
          <w:shd w:val="clear" w:color="auto" w:fill="FFFFFF" w:themeFill="background1"/>
        </w:rPr>
      </w:pPr>
      <w:bookmarkStart w:id="60" w:name="_Toc8077"/>
      <w:bookmarkStart w:id="61" w:name="_Toc26893"/>
      <w:r>
        <w:rPr>
          <w:rFonts w:hint="eastAsia" w:ascii="楷体" w:hAnsi="楷体" w:eastAsia="楷体"/>
          <w:szCs w:val="30"/>
          <w:shd w:val="clear" w:color="auto" w:fill="FFFFFF" w:themeFill="background1"/>
        </w:rPr>
        <w:t>（八）绩效评价实施过程</w:t>
      </w:r>
      <w:bookmarkEnd w:id="60"/>
      <w:bookmarkEnd w:id="61"/>
    </w:p>
    <w:p>
      <w:pPr>
        <w:widowControl/>
        <w:spacing w:line="580" w:lineRule="exact"/>
        <w:ind w:firstLine="600" w:firstLineChars="200"/>
        <w:jc w:val="left"/>
        <w:rPr>
          <w:szCs w:val="30"/>
          <w:shd w:val="clear" w:color="auto" w:fill="FFFFFF"/>
        </w:rPr>
      </w:pPr>
      <w:r>
        <w:rPr>
          <w:rFonts w:hint="eastAsia"/>
          <w:szCs w:val="30"/>
          <w:shd w:val="clear" w:color="auto" w:fill="FFFFFF"/>
        </w:rPr>
        <w:t>评价工作主要经过以下过程：</w:t>
      </w:r>
    </w:p>
    <w:p>
      <w:pPr>
        <w:widowControl/>
        <w:spacing w:line="580" w:lineRule="exact"/>
        <w:ind w:firstLine="600" w:firstLineChars="200"/>
        <w:jc w:val="left"/>
        <w:rPr>
          <w:szCs w:val="30"/>
          <w:shd w:val="clear" w:color="auto" w:fill="FFFFFF"/>
        </w:rPr>
      </w:pPr>
      <w:r>
        <w:rPr>
          <w:rFonts w:hint="eastAsia" w:cs="仿宋"/>
          <w:szCs w:val="30"/>
          <w:shd w:val="clear" w:color="auto" w:fill="FFFFFF" w:themeFill="background1"/>
        </w:rPr>
        <w:t>1.前期准备。</w:t>
      </w:r>
      <w:r>
        <w:rPr>
          <w:rFonts w:hint="eastAsia"/>
          <w:szCs w:val="30"/>
          <w:shd w:val="clear" w:color="auto" w:fill="FFFFFF"/>
        </w:rPr>
        <w:t>成立评价工作组，并对防疫物资采购项目相关文件进行深入学习，与区财政局就绩效评价工作开展讨论，形成绩效评价方案，明确绩效评价指标体系。</w:t>
      </w:r>
    </w:p>
    <w:p>
      <w:pPr>
        <w:widowControl/>
        <w:spacing w:line="580" w:lineRule="exact"/>
        <w:ind w:firstLine="600" w:firstLineChars="200"/>
        <w:jc w:val="left"/>
        <w:rPr>
          <w:szCs w:val="30"/>
          <w:shd w:val="clear" w:color="auto" w:fill="FFFFFF"/>
        </w:rPr>
      </w:pPr>
      <w:r>
        <w:rPr>
          <w:rFonts w:hint="eastAsia"/>
          <w:szCs w:val="30"/>
          <w:shd w:val="clear" w:color="auto" w:fill="FFFFFF"/>
        </w:rPr>
        <w:t>2.组织实施。评价小组人员进入项目现场，开展实地调研、公众访谈、问卷调查，对项目资料、财务资料进行查证核对。</w:t>
      </w:r>
    </w:p>
    <w:p>
      <w:pPr>
        <w:widowControl/>
        <w:spacing w:line="580" w:lineRule="exact"/>
        <w:ind w:firstLine="600" w:firstLineChars="200"/>
        <w:jc w:val="left"/>
        <w:rPr>
          <w:szCs w:val="30"/>
          <w:shd w:val="clear" w:color="auto" w:fill="FFFFFF"/>
        </w:rPr>
      </w:pPr>
      <w:r>
        <w:rPr>
          <w:rFonts w:hint="eastAsia"/>
          <w:szCs w:val="30"/>
          <w:shd w:val="clear" w:color="auto" w:fill="FFFFFF"/>
        </w:rPr>
        <w:t>3.分析评价。对收集的相关数据、资料、信息进行梳理、分析和甄别，按评价指标体系对项目进行综合评价，将评价结果与有关部门沟通讨论并修正，形成正式评价结论。</w:t>
      </w:r>
    </w:p>
    <w:p>
      <w:pPr>
        <w:widowControl/>
        <w:spacing w:line="580" w:lineRule="exact"/>
        <w:ind w:firstLine="600" w:firstLineChars="200"/>
        <w:jc w:val="left"/>
        <w:rPr>
          <w:szCs w:val="30"/>
          <w:shd w:val="clear" w:color="auto" w:fill="FFFFFF"/>
        </w:rPr>
      </w:pPr>
      <w:r>
        <w:rPr>
          <w:rFonts w:hint="eastAsia"/>
          <w:szCs w:val="30"/>
          <w:shd w:val="clear" w:color="auto" w:fill="FFFFFF"/>
        </w:rPr>
        <w:t>4.编写报告。根据评价结论，编写绩效评价报告。</w:t>
      </w:r>
    </w:p>
    <w:p>
      <w:pPr>
        <w:spacing w:line="580" w:lineRule="exact"/>
        <w:ind w:firstLine="600" w:firstLineChars="200"/>
        <w:outlineLvl w:val="0"/>
        <w:rPr>
          <w:rFonts w:ascii="黑体" w:hAnsi="黑体" w:eastAsia="黑体" w:cs="宋体"/>
          <w:szCs w:val="30"/>
          <w:shd w:val="clear" w:color="auto" w:fill="FFFFFF" w:themeFill="background1"/>
        </w:rPr>
      </w:pPr>
      <w:bookmarkStart w:id="62" w:name="_Toc43887948"/>
      <w:bookmarkStart w:id="63" w:name="_Toc5182"/>
      <w:bookmarkStart w:id="64" w:name="_Toc30478"/>
      <w:r>
        <w:rPr>
          <w:rFonts w:hint="eastAsia" w:ascii="黑体" w:hAnsi="黑体" w:eastAsia="黑体" w:cs="宋体"/>
          <w:szCs w:val="30"/>
          <w:shd w:val="clear" w:color="auto" w:fill="FFFFFF" w:themeFill="background1"/>
        </w:rPr>
        <w:t>三、</w:t>
      </w:r>
      <w:bookmarkEnd w:id="62"/>
      <w:r>
        <w:rPr>
          <w:rFonts w:hint="eastAsia" w:ascii="黑体" w:hAnsi="黑体" w:eastAsia="黑体" w:cs="宋体"/>
          <w:szCs w:val="30"/>
          <w:shd w:val="clear" w:color="auto" w:fill="FFFFFF" w:themeFill="background1"/>
        </w:rPr>
        <w:t>绩效情况分析</w:t>
      </w:r>
      <w:bookmarkEnd w:id="63"/>
      <w:bookmarkEnd w:id="64"/>
    </w:p>
    <w:p>
      <w:pPr>
        <w:spacing w:line="580" w:lineRule="exact"/>
        <w:ind w:firstLine="600" w:firstLineChars="200"/>
        <w:rPr>
          <w:szCs w:val="30"/>
          <w:shd w:val="clear" w:color="auto" w:fill="FFFFFF"/>
        </w:rPr>
      </w:pPr>
      <w:bookmarkStart w:id="65" w:name="_Toc43887949"/>
      <w:r>
        <w:rPr>
          <w:rFonts w:hint="eastAsia"/>
          <w:szCs w:val="30"/>
          <w:shd w:val="clear" w:color="auto" w:fill="FFFFFF"/>
        </w:rPr>
        <w:t>根据绩效评价指标，按“决策——过程——产出——效益”（即项目决策、项目过程、项目产出、项目效益）逐项分析评价如下：</w:t>
      </w:r>
      <w:bookmarkEnd w:id="65"/>
      <w:bookmarkStart w:id="66" w:name="_Toc43887951"/>
    </w:p>
    <w:p>
      <w:pPr>
        <w:spacing w:line="580" w:lineRule="exact"/>
        <w:ind w:firstLine="600" w:firstLineChars="200"/>
        <w:outlineLvl w:val="1"/>
        <w:rPr>
          <w:rFonts w:ascii="楷体" w:hAnsi="楷体" w:eastAsia="楷体" w:cs="楷体"/>
          <w:szCs w:val="30"/>
          <w:shd w:val="clear" w:color="auto" w:fill="FFFFFF"/>
        </w:rPr>
      </w:pPr>
      <w:bookmarkStart w:id="67" w:name="_Toc22208"/>
      <w:bookmarkStart w:id="68" w:name="_Toc15667"/>
      <w:r>
        <w:rPr>
          <w:rFonts w:hint="eastAsia" w:ascii="楷体" w:hAnsi="楷体" w:eastAsia="楷体" w:cs="楷体"/>
          <w:szCs w:val="30"/>
          <w:shd w:val="clear" w:color="auto" w:fill="FFFFFF" w:themeFill="background1"/>
        </w:rPr>
        <w:t>（一）项目投入</w:t>
      </w:r>
      <w:bookmarkEnd w:id="67"/>
      <w:bookmarkEnd w:id="68"/>
    </w:p>
    <w:p>
      <w:pPr>
        <w:widowControl/>
        <w:spacing w:line="580" w:lineRule="exact"/>
        <w:ind w:firstLine="600" w:firstLineChars="200"/>
        <w:rPr>
          <w:szCs w:val="30"/>
          <w:shd w:val="clear" w:color="auto" w:fill="FFFFFF"/>
        </w:rPr>
      </w:pPr>
      <w:bookmarkStart w:id="69" w:name="_Toc18601"/>
      <w:r>
        <w:rPr>
          <w:rFonts w:hint="eastAsia"/>
          <w:szCs w:val="30"/>
          <w:shd w:val="clear" w:color="auto" w:fill="FFFFFF"/>
        </w:rPr>
        <w:t>1.项目立项</w:t>
      </w:r>
      <w:bookmarkEnd w:id="66"/>
      <w:bookmarkEnd w:id="69"/>
    </w:p>
    <w:p>
      <w:pPr>
        <w:widowControl/>
        <w:spacing w:line="580" w:lineRule="exact"/>
        <w:ind w:firstLine="600" w:firstLineChars="200"/>
        <w:rPr>
          <w:szCs w:val="30"/>
          <w:highlight w:val="yellow"/>
          <w:shd w:val="clear" w:color="auto" w:fill="FFFFFF"/>
        </w:rPr>
      </w:pPr>
      <w:r>
        <w:rPr>
          <w:rFonts w:hint="eastAsia"/>
          <w:szCs w:val="30"/>
          <w:shd w:val="clear" w:color="auto" w:fill="FFFFFF"/>
        </w:rPr>
        <w:t>为进一步加强新型冠状病毒感染的肺炎疫情防控工作，统筹抓好疫情防控和经济社会发展，做到两手抓、两手硬，双落实、双推进，更加科学有效地抓住疫情防控，更加有力有序地推动全区工业经济发展，按照《重庆市梁平区新型冠状病毒感染的肺炎疫情防控工作领导小组办公室关于成立梁平区新型冠状病毒感染的肺炎疫情联防联控工作指挥部的通知》（梁肺炎组办发〔2020〕1号）及</w:t>
      </w:r>
      <w:r>
        <w:rPr>
          <w:rFonts w:hint="eastAsia" w:cs="宋体"/>
          <w:color w:val="000000"/>
          <w:kern w:val="2"/>
          <w:szCs w:val="30"/>
        </w:rPr>
        <w:t>《重庆市梁平区新型冠状病毒感染的肺炎疫情防控工作领导小组办公室关于调整梁平区新型冠状病毒感染的肺炎疫情联防联控工作指挥部有关事宜的通知》（梁肺炎组办发〔2020〕3号）文件要求</w:t>
      </w:r>
      <w:r>
        <w:rPr>
          <w:rFonts w:hint="eastAsia"/>
          <w:szCs w:val="30"/>
          <w:shd w:val="clear" w:color="auto" w:fill="FFFFFF"/>
        </w:rPr>
        <w:t>，区经信委结合实际，成立区经济信息委新型冠状病毒感染的肺炎疫情防控工作指挥部，并下发《重庆市梁平区经济和信息化委员会关于成立区经济信息委新型冠状病毒感染的肺炎疫情防控工作指挥部的通知》（梁平经信委发〔2020〕4 号）文件，就防疫物资采购项目划分工作部门、明确工作职责、完善管理制度等，有效缓解疫情防疫期间供需矛盾，弥补对有效需求的供应不足等问题。本项目符合国民经济发展规划和党委政府决策，明确了实施必要性、急迫性、可行性，资金来源有保障、项目金额合理，预期完成数量、质量、时效基本符合正常水平。</w:t>
      </w:r>
    </w:p>
    <w:p>
      <w:pPr>
        <w:widowControl/>
        <w:spacing w:line="580" w:lineRule="exact"/>
        <w:ind w:firstLine="600" w:firstLineChars="200"/>
        <w:rPr>
          <w:szCs w:val="30"/>
          <w:shd w:val="clear" w:color="auto" w:fill="FFFFFF"/>
        </w:rPr>
      </w:pPr>
      <w:r>
        <w:rPr>
          <w:rFonts w:hint="eastAsia"/>
          <w:shd w:val="clear" w:color="auto" w:fill="FFFFFF" w:themeFill="background1"/>
        </w:rPr>
        <w:t>经综合分析，项目立项依据充分合理、论证充分、程序规范、设计合理，本项指标分值8.00分，得分8.00分</w:t>
      </w:r>
      <w:r>
        <w:rPr>
          <w:rFonts w:hint="eastAsia"/>
          <w:szCs w:val="30"/>
          <w:shd w:val="clear" w:color="auto" w:fill="FFFFFF"/>
        </w:rPr>
        <w:t>。</w:t>
      </w:r>
    </w:p>
    <w:p>
      <w:pPr>
        <w:widowControl/>
        <w:spacing w:line="580" w:lineRule="exact"/>
        <w:ind w:firstLine="600" w:firstLineChars="200"/>
        <w:rPr>
          <w:szCs w:val="30"/>
          <w:shd w:val="clear" w:color="auto" w:fill="FFFFFF"/>
        </w:rPr>
      </w:pPr>
      <w:bookmarkStart w:id="70" w:name="_Toc16757"/>
      <w:r>
        <w:rPr>
          <w:rFonts w:hint="eastAsia"/>
          <w:szCs w:val="30"/>
          <w:shd w:val="clear" w:color="auto" w:fill="FFFFFF"/>
        </w:rPr>
        <w:t>2.绩效目标</w:t>
      </w:r>
      <w:bookmarkEnd w:id="70"/>
    </w:p>
    <w:p>
      <w:pPr>
        <w:widowControl/>
        <w:spacing w:line="580" w:lineRule="exact"/>
        <w:ind w:firstLine="600" w:firstLineChars="200"/>
        <w:rPr>
          <w:szCs w:val="30"/>
          <w:shd w:val="clear" w:color="auto" w:fill="FFFFFF"/>
        </w:rPr>
      </w:pPr>
      <w:r>
        <w:rPr>
          <w:rFonts w:hint="eastAsia"/>
          <w:szCs w:val="30"/>
          <w:shd w:val="clear" w:color="auto" w:fill="FFFFFF"/>
        </w:rPr>
        <w:t>由于未搜集到项目的绩效目标申报表及年度自评表，</w:t>
      </w:r>
      <w:r>
        <w:rPr>
          <w:rFonts w:hint="eastAsia"/>
          <w:szCs w:val="30"/>
          <w:highlight w:val="none"/>
          <w:shd w:val="clear" w:color="auto" w:fill="FFFFFF"/>
        </w:rPr>
        <w:t>根据收集的相关文件</w:t>
      </w:r>
      <w:r>
        <w:rPr>
          <w:rFonts w:hint="eastAsia"/>
          <w:szCs w:val="30"/>
          <w:highlight w:val="none"/>
          <w:shd w:val="clear" w:color="auto" w:fill="FFFFFF"/>
          <w:lang w:val="en-US" w:eastAsia="zh-CN"/>
        </w:rPr>
        <w:t>仅</w:t>
      </w:r>
      <w:r>
        <w:rPr>
          <w:rFonts w:hint="eastAsia"/>
          <w:szCs w:val="30"/>
          <w:highlight w:val="none"/>
          <w:shd w:val="clear" w:color="auto" w:fill="FFFFFF"/>
        </w:rPr>
        <w:t>查询到</w:t>
      </w:r>
      <w:r>
        <w:rPr>
          <w:rFonts w:hint="eastAsia"/>
          <w:szCs w:val="30"/>
          <w:highlight w:val="none"/>
          <w:shd w:val="clear" w:color="auto" w:fill="FFFFFF"/>
          <w:lang w:val="en-US" w:eastAsia="zh-CN"/>
        </w:rPr>
        <w:t>总体</w:t>
      </w:r>
      <w:r>
        <w:rPr>
          <w:rFonts w:hint="eastAsia"/>
          <w:szCs w:val="30"/>
          <w:highlight w:val="none"/>
          <w:shd w:val="clear" w:color="auto" w:fill="FFFFFF"/>
        </w:rPr>
        <w:t>绩效目标情况，</w:t>
      </w:r>
      <w:r>
        <w:rPr>
          <w:rFonts w:hint="eastAsia"/>
          <w:szCs w:val="30"/>
          <w:highlight w:val="none"/>
          <w:shd w:val="clear" w:color="auto" w:fill="FFFFFF"/>
          <w:lang w:val="en-US" w:eastAsia="zh-CN"/>
        </w:rPr>
        <w:t>未设置年度绩效目标及细化相关指标</w:t>
      </w:r>
      <w:r>
        <w:rPr>
          <w:rFonts w:hint="eastAsia"/>
          <w:szCs w:val="30"/>
          <w:highlight w:val="none"/>
          <w:shd w:val="clear" w:color="auto" w:fill="FFFFFF"/>
          <w:lang w:eastAsia="zh-CN"/>
        </w:rPr>
        <w:t>，对项目实施内容和社会效益未能通过具体的年度分解目标体现出来</w:t>
      </w:r>
      <w:r>
        <w:rPr>
          <w:rFonts w:hint="eastAsia"/>
          <w:szCs w:val="30"/>
          <w:shd w:val="clear" w:color="auto" w:fill="FFFFFF"/>
        </w:rPr>
        <w:t>。经询问区经信委管理人员了解到，由于该项目属于应急项目，存在其特殊性，相关程序不够完善。根据《重庆市财政局关于印发重庆市抗疫特别国债项目绩效管理办法的通知》</w:t>
      </w:r>
      <w:r>
        <w:rPr>
          <w:rFonts w:hint="eastAsia"/>
          <w:szCs w:val="30"/>
          <w:shd w:val="clear" w:color="auto" w:fill="FFFFFF"/>
          <w:lang w:eastAsia="zh-CN"/>
        </w:rPr>
        <w:t>（</w:t>
      </w:r>
      <w:r>
        <w:rPr>
          <w:rFonts w:hint="eastAsia"/>
          <w:szCs w:val="30"/>
          <w:shd w:val="clear" w:color="auto" w:fill="FFFFFF"/>
        </w:rPr>
        <w:t>渝财绩〔2020〕15号</w:t>
      </w:r>
      <w:r>
        <w:rPr>
          <w:rFonts w:hint="eastAsia"/>
          <w:szCs w:val="30"/>
          <w:shd w:val="clear" w:color="auto" w:fill="FFFFFF"/>
          <w:lang w:eastAsia="zh-CN"/>
        </w:rPr>
        <w:t>）</w:t>
      </w:r>
      <w:r>
        <w:rPr>
          <w:rFonts w:hint="eastAsia"/>
          <w:szCs w:val="30"/>
          <w:shd w:val="clear" w:color="auto" w:fill="FFFFFF"/>
        </w:rPr>
        <w:t>文件，应编制</w:t>
      </w:r>
      <w:r>
        <w:rPr>
          <w:rFonts w:hint="eastAsia"/>
          <w:szCs w:val="30"/>
          <w:shd w:val="clear" w:color="auto" w:fill="FFFFFF"/>
          <w:lang w:val="en-US" w:eastAsia="zh-CN"/>
        </w:rPr>
        <w:t>具体</w:t>
      </w:r>
      <w:r>
        <w:rPr>
          <w:rFonts w:hint="eastAsia"/>
          <w:szCs w:val="30"/>
          <w:shd w:val="clear" w:color="auto" w:fill="FFFFFF"/>
        </w:rPr>
        <w:t>绩效目标，且项目目标应与预算安排相关联，反映出项目的产出效益和效果。</w:t>
      </w:r>
    </w:p>
    <w:p>
      <w:pPr>
        <w:spacing w:line="580" w:lineRule="exact"/>
        <w:ind w:firstLine="600" w:firstLineChars="200"/>
        <w:rPr>
          <w:rFonts w:cs="仿宋"/>
          <w:szCs w:val="30"/>
          <w:shd w:val="clear" w:color="auto" w:fill="FFFFFF" w:themeFill="background1"/>
        </w:rPr>
      </w:pPr>
      <w:bookmarkStart w:id="71" w:name="_Toc15095"/>
      <w:r>
        <w:rPr>
          <w:rFonts w:hint="eastAsia"/>
          <w:shd w:val="clear" w:color="auto" w:fill="FFFFFF" w:themeFill="background1"/>
        </w:rPr>
        <w:t>经综合分析</w:t>
      </w:r>
      <w:r>
        <w:rPr>
          <w:rFonts w:hint="eastAsia" w:cs="仿宋"/>
          <w:kern w:val="2"/>
          <w:szCs w:val="30"/>
        </w:rPr>
        <w:t>，由于</w:t>
      </w:r>
      <w:r>
        <w:rPr>
          <w:rFonts w:hint="eastAsia" w:cs="仿宋"/>
          <w:kern w:val="2"/>
          <w:szCs w:val="30"/>
          <w:lang w:val="en-US" w:eastAsia="zh-CN"/>
        </w:rPr>
        <w:t>仅设置</w:t>
      </w:r>
      <w:r>
        <w:rPr>
          <w:rFonts w:hint="eastAsia"/>
          <w:szCs w:val="30"/>
          <w:highlight w:val="none"/>
          <w:shd w:val="clear" w:color="auto" w:fill="FFFFFF"/>
          <w:lang w:val="en-US" w:eastAsia="zh-CN"/>
        </w:rPr>
        <w:t>总体</w:t>
      </w:r>
      <w:r>
        <w:rPr>
          <w:rFonts w:hint="eastAsia"/>
          <w:szCs w:val="30"/>
          <w:highlight w:val="none"/>
          <w:shd w:val="clear" w:color="auto" w:fill="FFFFFF"/>
        </w:rPr>
        <w:t>绩效目标情况，</w:t>
      </w:r>
      <w:r>
        <w:rPr>
          <w:rFonts w:hint="eastAsia"/>
          <w:szCs w:val="30"/>
          <w:highlight w:val="none"/>
          <w:shd w:val="clear" w:color="auto" w:fill="FFFFFF"/>
          <w:lang w:val="en-US" w:eastAsia="zh-CN"/>
        </w:rPr>
        <w:t>未设置年度绩效目标及细化相关指标，无法准确反映目标合理性及指标明确性</w:t>
      </w:r>
      <w:r>
        <w:rPr>
          <w:rFonts w:hint="eastAsia" w:cs="仿宋"/>
          <w:kern w:val="2"/>
          <w:szCs w:val="30"/>
        </w:rPr>
        <w:t>。本项指标分值4.00分，得分</w:t>
      </w:r>
      <w:r>
        <w:rPr>
          <w:rFonts w:hint="eastAsia" w:cs="仿宋"/>
          <w:kern w:val="2"/>
          <w:szCs w:val="30"/>
          <w:lang w:val="en-US" w:eastAsia="zh-CN"/>
        </w:rPr>
        <w:t>1</w:t>
      </w:r>
      <w:r>
        <w:rPr>
          <w:rFonts w:hint="eastAsia" w:cs="仿宋"/>
          <w:kern w:val="2"/>
          <w:szCs w:val="30"/>
        </w:rPr>
        <w:t>.00分</w:t>
      </w:r>
      <w:r>
        <w:rPr>
          <w:rFonts w:hint="eastAsia" w:cs="仿宋"/>
          <w:szCs w:val="30"/>
          <w:shd w:val="clear" w:color="auto" w:fill="FFFFFF" w:themeFill="background1"/>
        </w:rPr>
        <w:t>。</w:t>
      </w:r>
    </w:p>
    <w:p>
      <w:pPr>
        <w:spacing w:line="580" w:lineRule="exact"/>
        <w:ind w:firstLine="600" w:firstLineChars="200"/>
        <w:rPr>
          <w:rFonts w:cs="仿宋"/>
          <w:szCs w:val="30"/>
          <w:shd w:val="clear" w:color="auto" w:fill="FFFFFF" w:themeFill="background1"/>
        </w:rPr>
      </w:pPr>
      <w:r>
        <w:rPr>
          <w:rFonts w:hint="eastAsia" w:cs="仿宋"/>
          <w:szCs w:val="30"/>
          <w:shd w:val="clear" w:color="auto" w:fill="FFFFFF" w:themeFill="background1"/>
        </w:rPr>
        <w:t>3.资金投入</w:t>
      </w:r>
      <w:bookmarkEnd w:id="71"/>
    </w:p>
    <w:p>
      <w:pPr>
        <w:widowControl/>
        <w:spacing w:line="580" w:lineRule="exact"/>
        <w:ind w:firstLine="600" w:firstLineChars="200"/>
        <w:rPr>
          <w:szCs w:val="30"/>
          <w:shd w:val="clear" w:color="auto" w:fill="FFFFFF"/>
        </w:rPr>
      </w:pPr>
      <w:r>
        <w:rPr>
          <w:rFonts w:hint="eastAsia"/>
          <w:szCs w:val="30"/>
          <w:shd w:val="clear" w:color="auto" w:fill="FFFFFF"/>
        </w:rPr>
        <w:t>（1）预算编制科学性</w:t>
      </w:r>
    </w:p>
    <w:p>
      <w:pPr>
        <w:widowControl/>
        <w:spacing w:line="580" w:lineRule="exact"/>
        <w:ind w:firstLine="600" w:firstLineChars="200"/>
        <w:rPr>
          <w:szCs w:val="30"/>
          <w:shd w:val="clear" w:color="auto" w:fill="FFFFFF"/>
        </w:rPr>
      </w:pPr>
      <w:r>
        <w:rPr>
          <w:rFonts w:hint="eastAsia"/>
        </w:rPr>
        <w:t>根据《重庆市梁平区新型冠状病毒感染的肺炎疫情防控工作领导小组办公室关于调整梁平区新型冠状病毒感染的肺炎疫情联防联控工作指挥部有关事宜的通知》（梁肺炎组办发〔2020〕3号）文件，区经信委按照分配任务负责各类防疫物资储备工作，《重庆市梁平区财政局关于下达2020年抗疫特别国债资金的通知》（梁平财发〔2020〕351号）文件安排</w:t>
      </w:r>
      <w:r>
        <w:rPr>
          <w:rFonts w:hint="eastAsia"/>
          <w:szCs w:val="30"/>
        </w:rPr>
        <w:t>防疫物资采购项目</w:t>
      </w:r>
      <w:r>
        <w:rPr>
          <w:rFonts w:hint="eastAsia"/>
        </w:rPr>
        <w:t>抗疫特别国债资金</w:t>
      </w:r>
      <w:r>
        <w:rPr>
          <w:rFonts w:hint="eastAsia"/>
          <w:szCs w:val="30"/>
        </w:rPr>
        <w:t>600.00万元</w:t>
      </w:r>
      <w:r>
        <w:rPr>
          <w:rFonts w:hint="eastAsia"/>
        </w:rPr>
        <w:t>。但后续经区十七届人大常委会第36次会议审议，</w:t>
      </w:r>
      <w:r>
        <w:rPr>
          <w:rFonts w:hint="eastAsia"/>
          <w:lang w:val="en-US" w:eastAsia="zh-CN"/>
        </w:rPr>
        <w:t>对</w:t>
      </w:r>
      <w:r>
        <w:rPr>
          <w:rFonts w:hint="eastAsia"/>
        </w:rPr>
        <w:t>防疫物资采购项目安排的抗疫特别国债资金进行调整，并根据《重庆市梁平区财政局关于下达2020年部分抗疫特别国债资金调整使用计划的通知》（梁平财发〔2020〕855号）文件，确认调整后金额为592.60万元。</w:t>
      </w:r>
      <w:r>
        <w:rPr>
          <w:rFonts w:hint="eastAsia"/>
          <w:szCs w:val="30"/>
        </w:rPr>
        <w:t>防疫物资采购项目预算内容与项目内容匹配，</w:t>
      </w:r>
      <w:r>
        <w:rPr>
          <w:rFonts w:hint="eastAsia"/>
        </w:rPr>
        <w:t>预算安排基本合理，依据充分</w:t>
      </w:r>
      <w:r>
        <w:rPr>
          <w:rFonts w:hint="eastAsia"/>
          <w:szCs w:val="30"/>
          <w:shd w:val="clear" w:color="auto" w:fill="FFFFFF"/>
        </w:rPr>
        <w:t>。</w:t>
      </w:r>
    </w:p>
    <w:p>
      <w:pPr>
        <w:widowControl/>
        <w:spacing w:line="580" w:lineRule="exact"/>
        <w:ind w:firstLine="600" w:firstLineChars="200"/>
        <w:rPr>
          <w:szCs w:val="30"/>
          <w:shd w:val="clear" w:color="auto" w:fill="FFFFFF"/>
        </w:rPr>
      </w:pPr>
      <w:r>
        <w:rPr>
          <w:rFonts w:hint="eastAsia"/>
          <w:szCs w:val="30"/>
          <w:shd w:val="clear" w:color="auto" w:fill="FFFFFF"/>
        </w:rPr>
        <w:t>（2）资金分配合理性</w:t>
      </w:r>
    </w:p>
    <w:p>
      <w:pPr>
        <w:widowControl/>
        <w:spacing w:line="600" w:lineRule="exact"/>
        <w:ind w:firstLine="600" w:firstLineChars="200"/>
      </w:pPr>
      <w:r>
        <w:rPr>
          <w:rFonts w:hint="eastAsia"/>
        </w:rPr>
        <w:t>根据区经信委提供的资料显示，防疫物资采购项目资金系区财政统一安排疫情防控经费与区经信委申请用于解决突发公共卫生事件应急处理工作经费，预算资金安排与实际执行情况相匹配。评价认为本项目的预算资金严格按照上级下达的预算资金分配使用，分配依据充分，额度设置合理。</w:t>
      </w:r>
    </w:p>
    <w:p>
      <w:pPr>
        <w:spacing w:line="600" w:lineRule="exact"/>
        <w:ind w:firstLine="600" w:firstLineChars="200"/>
      </w:pPr>
      <w:r>
        <w:rPr>
          <w:rFonts w:hint="eastAsia"/>
          <w:shd w:val="clear" w:color="auto" w:fill="FFFFFF" w:themeFill="background1"/>
        </w:rPr>
        <w:t>经综合分析</w:t>
      </w:r>
      <w:r>
        <w:rPr>
          <w:rFonts w:hint="eastAsia" w:cs="仿宋"/>
          <w:kern w:val="2"/>
          <w:szCs w:val="30"/>
        </w:rPr>
        <w:t>，本项目预算编制合理，资金分配依据充分</w:t>
      </w:r>
      <w:r>
        <w:rPr>
          <w:rFonts w:hint="eastAsia"/>
        </w:rPr>
        <w:t>，</w:t>
      </w:r>
      <w:r>
        <w:rPr>
          <w:rFonts w:hint="eastAsia" w:cs="仿宋"/>
          <w:kern w:val="2"/>
          <w:szCs w:val="30"/>
        </w:rPr>
        <w:t>本项指标分值8.00分，得分8.00分</w:t>
      </w:r>
      <w:r>
        <w:rPr>
          <w:rFonts w:hint="eastAsia" w:cs="仿宋"/>
          <w:szCs w:val="30"/>
          <w:shd w:val="clear" w:color="auto" w:fill="FFFFFF" w:themeFill="background1"/>
        </w:rPr>
        <w:t>。</w:t>
      </w:r>
    </w:p>
    <w:p>
      <w:pPr>
        <w:spacing w:line="600" w:lineRule="exact"/>
        <w:ind w:firstLine="600" w:firstLineChars="200"/>
        <w:outlineLvl w:val="1"/>
        <w:rPr>
          <w:rFonts w:ascii="楷体" w:hAnsi="楷体" w:eastAsia="楷体" w:cs="楷体"/>
          <w:szCs w:val="30"/>
          <w:shd w:val="clear" w:color="auto" w:fill="FFFFFF" w:themeFill="background1"/>
        </w:rPr>
      </w:pPr>
      <w:bookmarkStart w:id="72" w:name="_Toc17013"/>
      <w:bookmarkStart w:id="73" w:name="_Toc30518"/>
      <w:r>
        <w:rPr>
          <w:rFonts w:hint="eastAsia" w:ascii="楷体" w:hAnsi="楷体" w:eastAsia="楷体" w:cs="楷体"/>
          <w:szCs w:val="30"/>
          <w:shd w:val="clear" w:color="auto" w:fill="FFFFFF" w:themeFill="background1"/>
        </w:rPr>
        <w:t>（二）项目过程</w:t>
      </w:r>
      <w:bookmarkEnd w:id="72"/>
      <w:bookmarkEnd w:id="73"/>
    </w:p>
    <w:p>
      <w:pPr>
        <w:spacing w:line="600" w:lineRule="exact"/>
        <w:ind w:firstLine="600" w:firstLineChars="200"/>
        <w:rPr>
          <w:rFonts w:cs="仿宋"/>
          <w:szCs w:val="30"/>
          <w:shd w:val="clear" w:color="auto" w:fill="FFFFFF" w:themeFill="background1"/>
        </w:rPr>
      </w:pPr>
      <w:bookmarkStart w:id="74" w:name="_Toc12512"/>
      <w:r>
        <w:rPr>
          <w:rFonts w:hint="eastAsia" w:cs="仿宋"/>
          <w:szCs w:val="30"/>
          <w:shd w:val="clear" w:color="auto" w:fill="FFFFFF" w:themeFill="background1"/>
        </w:rPr>
        <w:t>1.资金管理</w:t>
      </w:r>
      <w:bookmarkEnd w:id="74"/>
    </w:p>
    <w:p>
      <w:pPr>
        <w:spacing w:line="600" w:lineRule="exact"/>
        <w:ind w:firstLine="600" w:firstLineChars="200"/>
        <w:rPr>
          <w:szCs w:val="30"/>
          <w:shd w:val="clear" w:color="auto" w:fill="FFFFFF"/>
        </w:rPr>
      </w:pPr>
      <w:r>
        <w:rPr>
          <w:rFonts w:hint="eastAsia"/>
          <w:szCs w:val="30"/>
          <w:shd w:val="clear" w:color="auto" w:fill="FFFFFF"/>
        </w:rPr>
        <w:t>（1）</w:t>
      </w:r>
      <w:r>
        <w:rPr>
          <w:rFonts w:hint="eastAsia" w:cs="仿宋"/>
          <w:szCs w:val="30"/>
          <w:shd w:val="clear" w:color="auto" w:fill="FFFFFF" w:themeFill="background1"/>
        </w:rPr>
        <w:t>资金</w:t>
      </w:r>
      <w:r>
        <w:rPr>
          <w:rFonts w:hint="eastAsia"/>
          <w:szCs w:val="30"/>
          <w:shd w:val="clear" w:color="auto" w:fill="FFFFFF"/>
        </w:rPr>
        <w:t>到位</w:t>
      </w:r>
    </w:p>
    <w:p>
      <w:pPr>
        <w:spacing w:line="600" w:lineRule="exact"/>
        <w:ind w:firstLine="600" w:firstLineChars="200"/>
        <w:rPr>
          <w:rFonts w:hint="default" w:eastAsia="仿宋"/>
          <w:szCs w:val="30"/>
          <w:shd w:val="clear" w:color="auto" w:fill="FFFFFF"/>
          <w:lang w:val="en-US" w:eastAsia="zh-CN"/>
        </w:rPr>
      </w:pPr>
      <w:r>
        <w:rPr>
          <w:rFonts w:hint="eastAsia"/>
        </w:rPr>
        <w:t>防疫物资采购经费</w:t>
      </w:r>
      <w:r>
        <w:rPr>
          <w:rFonts w:hint="eastAsia"/>
          <w:szCs w:val="30"/>
          <w:shd w:val="clear" w:color="auto" w:fill="FFFFFF"/>
        </w:rPr>
        <w:t>系公共突发卫生事件应急处理工作经费，区政府高度重视，2020年1月28日根据区财政代编项目预算资金拨付审批表安排疫情防控经费300.00万元，2020年2月3日根据区财政局文件拟办意见报告审批同意拨付区经信委</w:t>
      </w:r>
      <w:r>
        <w:rPr>
          <w:rFonts w:hint="eastAsia"/>
        </w:rPr>
        <w:t>突发公共卫生事件应急处理工作经费</w:t>
      </w:r>
      <w:r>
        <w:rPr>
          <w:rFonts w:hint="eastAsia"/>
          <w:szCs w:val="30"/>
          <w:shd w:val="clear" w:color="auto" w:fill="FFFFFF"/>
        </w:rPr>
        <w:t>300.00万元。根据《重庆市梁平区财政局关于下达2020年部分抗疫特别国债资金调整使用计划的通知》（梁平财发〔2020〕855号）文件，</w:t>
      </w:r>
      <w:r>
        <w:rPr>
          <w:rFonts w:hint="eastAsia"/>
          <w:szCs w:val="30"/>
          <w:shd w:val="clear" w:color="auto" w:fill="FFFFFF"/>
          <w:lang w:val="en-US" w:eastAsia="zh-CN"/>
        </w:rPr>
        <w:t>对该项目安排的</w:t>
      </w:r>
      <w:r>
        <w:rPr>
          <w:rFonts w:hint="eastAsia"/>
          <w:szCs w:val="30"/>
          <w:shd w:val="clear" w:color="auto" w:fill="FFFFFF"/>
        </w:rPr>
        <w:t>抗疫特别国债资金调整</w:t>
      </w:r>
      <w:r>
        <w:rPr>
          <w:rFonts w:hint="eastAsia"/>
          <w:szCs w:val="30"/>
          <w:shd w:val="clear" w:color="auto" w:fill="FFFFFF"/>
          <w:lang w:val="en-US" w:eastAsia="zh-CN"/>
        </w:rPr>
        <w:t>为</w:t>
      </w:r>
      <w:r>
        <w:rPr>
          <w:rFonts w:hint="eastAsia"/>
          <w:szCs w:val="30"/>
          <w:shd w:val="clear" w:color="auto" w:fill="FFFFFF"/>
        </w:rPr>
        <w:t>592.60</w:t>
      </w:r>
      <w:r>
        <w:rPr>
          <w:rFonts w:hint="eastAsia"/>
        </w:rPr>
        <w:t>万</w:t>
      </w:r>
      <w:r>
        <w:rPr>
          <w:rFonts w:hint="eastAsia"/>
          <w:lang w:val="en-US" w:eastAsia="zh-CN"/>
        </w:rPr>
        <w:t>元，调整的7.40万元</w:t>
      </w:r>
      <w:r>
        <w:rPr>
          <w:rFonts w:hint="eastAsia"/>
          <w:szCs w:val="30"/>
          <w:shd w:val="clear" w:color="auto" w:fill="FFFFFF"/>
        </w:rPr>
        <w:t>抗疫特别国债资金</w:t>
      </w:r>
      <w:r>
        <w:rPr>
          <w:rFonts w:hint="eastAsia"/>
          <w:szCs w:val="30"/>
          <w:shd w:val="clear" w:color="auto" w:fill="FFFFFF"/>
          <w:lang w:val="en-US" w:eastAsia="zh-CN"/>
        </w:rPr>
        <w:t>由区财政统一收回。</w:t>
      </w:r>
    </w:p>
    <w:p>
      <w:pPr>
        <w:spacing w:line="600" w:lineRule="exact"/>
        <w:ind w:firstLine="600" w:firstLineChars="200"/>
        <w:rPr>
          <w:szCs w:val="30"/>
          <w:shd w:val="clear" w:color="auto" w:fill="FFFFFF"/>
        </w:rPr>
      </w:pPr>
      <w:r>
        <w:rPr>
          <w:rFonts w:hint="eastAsia"/>
          <w:shd w:val="clear" w:color="auto" w:fill="FFFFFF" w:themeFill="background1"/>
        </w:rPr>
        <w:t>根据</w:t>
      </w:r>
      <w:r>
        <w:rPr>
          <w:rFonts w:hint="eastAsia"/>
          <w:szCs w:val="30"/>
          <w:shd w:val="clear" w:color="auto" w:fill="FFFFFF"/>
        </w:rPr>
        <w:t>区经信委提供的项目明细账了解到，2020年</w:t>
      </w:r>
      <w:r>
        <w:rPr>
          <w:rFonts w:hint="eastAsia"/>
        </w:rPr>
        <w:t>防疫物资采购项目财政专项资金</w:t>
      </w:r>
      <w:r>
        <w:rPr>
          <w:rFonts w:hint="eastAsia"/>
          <w:szCs w:val="30"/>
          <w:shd w:val="clear" w:color="auto" w:fill="FFFFFF"/>
        </w:rPr>
        <w:t>592.60</w:t>
      </w:r>
      <w:r>
        <w:rPr>
          <w:rFonts w:hint="eastAsia"/>
        </w:rPr>
        <w:t>万</w:t>
      </w:r>
      <w:r>
        <w:rPr>
          <w:rFonts w:hint="eastAsia"/>
          <w:lang w:val="en-US" w:eastAsia="zh-CN"/>
        </w:rPr>
        <w:t>元</w:t>
      </w:r>
      <w:r>
        <w:rPr>
          <w:rFonts w:hint="eastAsia"/>
          <w:szCs w:val="30"/>
          <w:shd w:val="clear" w:color="auto" w:fill="FFFFFF"/>
        </w:rPr>
        <w:t>已于2020年12月31日前全额到账，资金到位率、及时率均为100.00%。</w:t>
      </w:r>
    </w:p>
    <w:p>
      <w:pPr>
        <w:spacing w:line="600" w:lineRule="exact"/>
        <w:ind w:firstLine="600" w:firstLineChars="200"/>
        <w:rPr>
          <w:rFonts w:cs="仿宋"/>
          <w:szCs w:val="30"/>
          <w:shd w:val="clear" w:color="auto" w:fill="FFFFFF" w:themeFill="background1"/>
        </w:rPr>
      </w:pPr>
      <w:r>
        <w:rPr>
          <w:rFonts w:hint="eastAsia" w:cs="仿宋"/>
          <w:szCs w:val="30"/>
          <w:shd w:val="clear" w:color="auto" w:fill="FFFFFF" w:themeFill="background1"/>
        </w:rPr>
        <w:t>（2）预算执行</w:t>
      </w:r>
    </w:p>
    <w:p>
      <w:pPr>
        <w:spacing w:line="600" w:lineRule="exact"/>
        <w:ind w:firstLine="600" w:firstLineChars="200"/>
        <w:rPr>
          <w:rFonts w:cs="宋体"/>
          <w:sz w:val="24"/>
          <w:szCs w:val="24"/>
          <w:shd w:val="clear" w:color="auto" w:fill="FFFFFF" w:themeFill="background1"/>
        </w:rPr>
      </w:pPr>
      <w:r>
        <w:rPr>
          <w:rFonts w:hint="eastAsia" w:cs="宋体"/>
          <w:color w:val="000000"/>
          <w:kern w:val="2"/>
          <w:szCs w:val="30"/>
        </w:rPr>
        <w:t>根据</w:t>
      </w:r>
      <w:r>
        <w:rPr>
          <w:rFonts w:hint="eastAsia"/>
          <w:szCs w:val="30"/>
          <w:shd w:val="clear" w:color="auto" w:fill="FFFFFF"/>
        </w:rPr>
        <w:t>区经信委提供的2020年</w:t>
      </w:r>
      <w:r>
        <w:rPr>
          <w:rFonts w:hint="eastAsia"/>
        </w:rPr>
        <w:t>防疫物资采购项目</w:t>
      </w:r>
      <w:r>
        <w:rPr>
          <w:rFonts w:hint="eastAsia" w:cs="宋体"/>
          <w:color w:val="000000"/>
          <w:kern w:val="2"/>
          <w:szCs w:val="30"/>
        </w:rPr>
        <w:t>支付凭证等相关资料显示，支付</w:t>
      </w:r>
      <w:r>
        <w:rPr>
          <w:rFonts w:hint="eastAsia"/>
          <w:szCs w:val="30"/>
          <w:shd w:val="clear" w:color="auto" w:fill="FFFFFF"/>
        </w:rPr>
        <w:t>疫情防控经费共计592.60万元</w:t>
      </w:r>
      <w:r>
        <w:rPr>
          <w:rFonts w:hint="eastAsia" w:cs="宋体"/>
          <w:color w:val="000000"/>
          <w:kern w:val="2"/>
          <w:szCs w:val="30"/>
        </w:rPr>
        <w:t>，收到</w:t>
      </w:r>
      <w:r>
        <w:rPr>
          <w:rFonts w:hint="eastAsia"/>
          <w:szCs w:val="30"/>
          <w:shd w:val="clear" w:color="auto" w:fill="FFFFFF"/>
        </w:rPr>
        <w:t>2020年</w:t>
      </w:r>
      <w:r>
        <w:rPr>
          <w:rFonts w:hint="eastAsia"/>
        </w:rPr>
        <w:t>防疫物资采购项目财政专项</w:t>
      </w:r>
      <w:r>
        <w:rPr>
          <w:rFonts w:hint="eastAsia" w:cs="宋体"/>
          <w:color w:val="000000"/>
          <w:kern w:val="2"/>
          <w:szCs w:val="30"/>
        </w:rPr>
        <w:t>资金</w:t>
      </w:r>
      <w:r>
        <w:rPr>
          <w:rFonts w:hint="eastAsia"/>
          <w:szCs w:val="30"/>
          <w:shd w:val="clear" w:color="auto" w:fill="FFFFFF"/>
        </w:rPr>
        <w:t>592.60</w:t>
      </w:r>
      <w:r>
        <w:rPr>
          <w:rFonts w:hint="eastAsia" w:cs="宋体"/>
          <w:color w:val="000000"/>
          <w:kern w:val="2"/>
          <w:szCs w:val="30"/>
        </w:rPr>
        <w:t>万元，</w:t>
      </w:r>
      <w:r>
        <w:rPr>
          <w:rFonts w:cs="宋体"/>
          <w:color w:val="000000"/>
          <w:kern w:val="2"/>
          <w:szCs w:val="30"/>
        </w:rPr>
        <w:t>项目</w:t>
      </w:r>
      <w:r>
        <w:rPr>
          <w:rFonts w:hint="eastAsia" w:cs="宋体"/>
          <w:color w:val="000000"/>
          <w:kern w:val="2"/>
          <w:szCs w:val="30"/>
        </w:rPr>
        <w:t>预算执行率为</w:t>
      </w:r>
      <w:r>
        <w:rPr>
          <w:rFonts w:hint="eastAsia" w:cs="宋体"/>
          <w:color w:val="000000"/>
          <w:kern w:val="2"/>
          <w:szCs w:val="30"/>
          <w:lang w:val="en-US" w:eastAsia="zh-CN"/>
        </w:rPr>
        <w:t>100.00</w:t>
      </w:r>
      <w:r>
        <w:rPr>
          <w:rFonts w:cs="宋体"/>
          <w:color w:val="000000"/>
          <w:kern w:val="2"/>
          <w:szCs w:val="30"/>
        </w:rPr>
        <w:t>%</w:t>
      </w:r>
      <w:r>
        <w:rPr>
          <w:rFonts w:hint="eastAsia" w:cs="宋体"/>
          <w:color w:val="000000"/>
          <w:kern w:val="2"/>
          <w:szCs w:val="30"/>
        </w:rPr>
        <w:t>，评价认为项目实际使用情况较好</w:t>
      </w:r>
      <w:r>
        <w:rPr>
          <w:rFonts w:hint="eastAsia" w:cs="宋体"/>
          <w:sz w:val="24"/>
          <w:szCs w:val="24"/>
          <w:shd w:val="clear" w:color="auto" w:fill="FFFFFF"/>
        </w:rPr>
        <w:t>。</w:t>
      </w:r>
    </w:p>
    <w:p>
      <w:pPr>
        <w:spacing w:line="600" w:lineRule="exact"/>
        <w:ind w:firstLine="600" w:firstLineChars="200"/>
        <w:rPr>
          <w:rFonts w:cs="仿宋"/>
          <w:szCs w:val="30"/>
          <w:shd w:val="clear" w:color="auto" w:fill="FFFFFF" w:themeFill="background1"/>
        </w:rPr>
      </w:pPr>
      <w:r>
        <w:rPr>
          <w:rFonts w:hint="eastAsia" w:cs="仿宋"/>
          <w:szCs w:val="30"/>
          <w:shd w:val="clear" w:color="auto" w:fill="FFFFFF" w:themeFill="background1"/>
        </w:rPr>
        <w:t>（3）资金使用合规性</w:t>
      </w:r>
    </w:p>
    <w:p>
      <w:pPr>
        <w:widowControl/>
        <w:spacing w:line="600" w:lineRule="exact"/>
        <w:ind w:firstLine="600" w:firstLineChars="200"/>
        <w:rPr>
          <w:szCs w:val="30"/>
          <w:shd w:val="clear" w:color="auto" w:fill="FFFFFF"/>
        </w:rPr>
      </w:pPr>
      <w:r>
        <w:rPr>
          <w:rFonts w:hint="eastAsia"/>
          <w:szCs w:val="30"/>
          <w:shd w:val="clear" w:color="auto" w:fill="FFFFFF"/>
        </w:rPr>
        <w:t>梁平区经信委根据已有的《财务管理制度》并按照《重庆市财政局关于下达2020年抗疫特别国债资金的通知》（渝财预〔2020〕23号）和《市对区县抗疫特别国债资金管理办法》（渝财预〔2020〕28号）文件，参照2020年疫情期间发布的《重庆市抗疫特别国债项目绩效管理办法》、《关于做好梁平区新冠肺炎疫情防控物资资金结算管理工作的通知》</w:t>
      </w:r>
      <w:r>
        <w:rPr>
          <w:rFonts w:hint="eastAsia"/>
        </w:rPr>
        <w:t>（梁平财发〔2020〕3号）文件</w:t>
      </w:r>
      <w:r>
        <w:rPr>
          <w:rFonts w:hint="eastAsia"/>
          <w:szCs w:val="30"/>
          <w:shd w:val="clear" w:color="auto" w:fill="FFFFFF"/>
        </w:rPr>
        <w:t>，对2020年</w:t>
      </w:r>
      <w:r>
        <w:rPr>
          <w:rFonts w:hint="eastAsia"/>
        </w:rPr>
        <w:t>防疫物资采购项目</w:t>
      </w:r>
      <w:r>
        <w:rPr>
          <w:rFonts w:hint="eastAsia"/>
          <w:szCs w:val="30"/>
          <w:shd w:val="clear" w:color="auto" w:fill="FFFFFF"/>
        </w:rPr>
        <w:t>预算管理、经费收支管理、监督管理等进行规定，保障了项目资金规范安全运行。区经信委对本项目的资金使用履行了审批程序，审批手续到位，相关凭据较完整合规。资金支付符合相关规范，并按照采购合同约定支付，资金用途符合预算批复的用途。资金使用按规定进行财务核算，真实、完整、清晰、及时反映项目收支情况。区经信委遵循《市对区县抗疫特别国债资金管理办法》及单位制定的《财务管理制度》对项目进行监控，财务资料保存完整，财务监控制度及机制的运行较为规范有效。</w:t>
      </w:r>
    </w:p>
    <w:p>
      <w:pPr>
        <w:widowControl/>
        <w:spacing w:line="600" w:lineRule="exact"/>
        <w:ind w:firstLine="600" w:firstLineChars="200"/>
        <w:rPr>
          <w:szCs w:val="30"/>
          <w:shd w:val="clear" w:color="auto" w:fill="FFFFFF"/>
        </w:rPr>
      </w:pPr>
      <w:r>
        <w:rPr>
          <w:rFonts w:hint="eastAsia"/>
          <w:szCs w:val="30"/>
          <w:shd w:val="clear" w:color="auto" w:fill="FFFFFF"/>
        </w:rPr>
        <w:t>该项目支付方式为按合同约定金额结算，其中2020年3月第34号和36号凭证为冲回购买防疫物资款，系由于供货商无法提供购买物资产生的款项退回。经查询凭证发现后附原始凭证仅有收据和银行回执单据，并无相关领导审批签字及情况说明，且冲回款项未一一对应向供货商购买物资时支付的记账凭证，财务核算的规范性有待加强。</w:t>
      </w:r>
    </w:p>
    <w:p>
      <w:pPr>
        <w:ind w:firstLine="600" w:firstLineChars="200"/>
      </w:pPr>
      <w:r>
        <w:rPr>
          <w:rFonts w:hint="eastAsia"/>
          <w:shd w:val="clear" w:color="auto" w:fill="FFFFFF" w:themeFill="background1"/>
        </w:rPr>
        <w:t>经综合分析</w:t>
      </w:r>
      <w:r>
        <w:rPr>
          <w:rFonts w:hint="eastAsia" w:cs="仿宋"/>
          <w:kern w:val="2"/>
          <w:szCs w:val="30"/>
        </w:rPr>
        <w:t>，本项目资金管理较为完善，预算执行率较高，</w:t>
      </w:r>
      <w:r>
        <w:rPr>
          <w:rFonts w:hint="eastAsia"/>
          <w:szCs w:val="30"/>
          <w:shd w:val="clear" w:color="auto" w:fill="FFFFFF"/>
        </w:rPr>
        <w:t>审批手续到位，资金使用按规定进行财务核算，监控有效</w:t>
      </w:r>
      <w:r>
        <w:rPr>
          <w:rFonts w:hint="eastAsia" w:cs="仿宋"/>
          <w:kern w:val="2"/>
          <w:szCs w:val="30"/>
        </w:rPr>
        <w:t>，但也存在</w:t>
      </w:r>
      <w:r>
        <w:rPr>
          <w:rFonts w:hint="eastAsia"/>
          <w:szCs w:val="30"/>
          <w:shd w:val="clear" w:color="auto" w:fill="FFFFFF"/>
        </w:rPr>
        <w:t>财务核算有待规范的</w:t>
      </w:r>
      <w:r>
        <w:rPr>
          <w:rFonts w:hint="eastAsia"/>
        </w:rPr>
        <w:t>情况，</w:t>
      </w:r>
      <w:r>
        <w:rPr>
          <w:rFonts w:hint="eastAsia" w:cs="仿宋"/>
          <w:kern w:val="2"/>
          <w:szCs w:val="30"/>
        </w:rPr>
        <w:t>本项指标分值10.00分，得分</w:t>
      </w:r>
      <w:r>
        <w:rPr>
          <w:rFonts w:hint="eastAsia" w:cs="仿宋"/>
          <w:kern w:val="2"/>
          <w:szCs w:val="30"/>
          <w:lang w:val="en-US" w:eastAsia="zh-CN"/>
        </w:rPr>
        <w:t>9</w:t>
      </w:r>
      <w:r>
        <w:rPr>
          <w:rFonts w:hint="eastAsia" w:cs="仿宋"/>
          <w:kern w:val="2"/>
          <w:szCs w:val="30"/>
        </w:rPr>
        <w:t>.50分</w:t>
      </w:r>
      <w:r>
        <w:rPr>
          <w:rFonts w:hint="eastAsia" w:cs="仿宋"/>
          <w:szCs w:val="30"/>
          <w:shd w:val="clear" w:color="auto" w:fill="FFFFFF" w:themeFill="background1"/>
        </w:rPr>
        <w:t>。</w:t>
      </w:r>
    </w:p>
    <w:p>
      <w:pPr>
        <w:spacing w:line="600" w:lineRule="exact"/>
        <w:ind w:firstLine="600" w:firstLineChars="200"/>
        <w:rPr>
          <w:rFonts w:cs="仿宋"/>
          <w:szCs w:val="30"/>
          <w:shd w:val="clear" w:color="auto" w:fill="FFFFFF" w:themeFill="background1"/>
        </w:rPr>
      </w:pPr>
      <w:bookmarkStart w:id="75" w:name="_Toc29725"/>
      <w:r>
        <w:rPr>
          <w:rFonts w:hint="eastAsia" w:cs="仿宋"/>
          <w:szCs w:val="30"/>
          <w:shd w:val="clear" w:color="auto" w:fill="FFFFFF" w:themeFill="background1"/>
        </w:rPr>
        <w:t>2.业务管理</w:t>
      </w:r>
      <w:bookmarkEnd w:id="75"/>
    </w:p>
    <w:p>
      <w:pPr>
        <w:spacing w:line="600" w:lineRule="exact"/>
        <w:ind w:firstLine="600" w:firstLineChars="200"/>
        <w:rPr>
          <w:rFonts w:cs="仿宋"/>
          <w:szCs w:val="30"/>
          <w:shd w:val="clear" w:color="auto" w:fill="FFFFFF" w:themeFill="background1"/>
        </w:rPr>
      </w:pPr>
      <w:r>
        <w:rPr>
          <w:rFonts w:hint="eastAsia" w:cs="仿宋"/>
          <w:szCs w:val="30"/>
          <w:shd w:val="clear" w:color="auto" w:fill="FFFFFF" w:themeFill="background1"/>
        </w:rPr>
        <w:t>（1）组织管理</w:t>
      </w:r>
    </w:p>
    <w:p>
      <w:pPr>
        <w:widowControl/>
        <w:spacing w:line="600" w:lineRule="exact"/>
        <w:ind w:firstLine="600" w:firstLineChars="200"/>
        <w:rPr>
          <w:szCs w:val="30"/>
          <w:shd w:val="clear" w:color="auto" w:fill="FFFFFF"/>
        </w:rPr>
      </w:pPr>
      <w:r>
        <w:rPr>
          <w:rFonts w:hint="eastAsia"/>
          <w:szCs w:val="30"/>
          <w:shd w:val="clear" w:color="auto" w:fill="FFFFFF"/>
        </w:rPr>
        <w:t>根据区经信委提供的相关资料显示，防疫物资采购项目机构设置和人员配备已到位。根据《重庆市梁平区新型冠状病毒感染的肺炎疫情防控工作领导小组办公室关于成立梁平区新型冠状病毒感染的肺炎疫情联防联控工作指挥部的通知》（梁肺炎组办发〔2020〕1号）及</w:t>
      </w:r>
      <w:r>
        <w:rPr>
          <w:rFonts w:hint="eastAsia" w:cs="宋体"/>
          <w:color w:val="000000"/>
          <w:kern w:val="2"/>
          <w:szCs w:val="30"/>
        </w:rPr>
        <w:t>《重庆市梁平区新型冠状病毒感染的肺炎疫情防控工作领导小组办公室关于调整梁平区新型冠状病毒感染的肺炎疫情联防联控工作指挥部有关事宜的通知》（梁肺炎组办发〔2020〕3号）文件要求</w:t>
      </w:r>
      <w:r>
        <w:rPr>
          <w:rFonts w:hint="eastAsia"/>
          <w:szCs w:val="30"/>
          <w:shd w:val="clear" w:color="auto" w:fill="FFFFFF"/>
        </w:rPr>
        <w:t>，区经信委结合实际，发布《关于成立区经济信息委新型冠状病毒感染的肺炎疫情防控工作指挥部的通知》</w:t>
      </w:r>
      <w:r>
        <w:rPr>
          <w:rFonts w:hint="eastAsia" w:cs="宋体"/>
          <w:color w:val="000000"/>
          <w:kern w:val="2"/>
          <w:szCs w:val="30"/>
        </w:rPr>
        <w:t>梁平经信委发〔2020〕4号）文件，成立</w:t>
      </w:r>
      <w:r>
        <w:rPr>
          <w:rFonts w:hint="eastAsia"/>
          <w:szCs w:val="30"/>
          <w:shd w:val="clear" w:color="auto" w:fill="FFFFFF"/>
        </w:rPr>
        <w:t>区经信委新型冠状病毒感染的肺炎疫情防控工作指挥部。区经信委党委书记为指挥长、相关科室部门为专项工作组，负责防疫工作的实施和保障防疫物资储备。</w:t>
      </w:r>
    </w:p>
    <w:p>
      <w:pPr>
        <w:spacing w:line="600" w:lineRule="exact"/>
        <w:ind w:firstLine="600" w:firstLineChars="200"/>
        <w:rPr>
          <w:rFonts w:cs="仿宋"/>
          <w:szCs w:val="30"/>
          <w:shd w:val="clear" w:color="auto" w:fill="FFFFFF" w:themeFill="background1"/>
        </w:rPr>
      </w:pPr>
      <w:r>
        <w:rPr>
          <w:rFonts w:hint="eastAsia" w:cs="仿宋"/>
          <w:szCs w:val="30"/>
          <w:shd w:val="clear" w:color="auto" w:fill="FFFFFF" w:themeFill="background1"/>
        </w:rPr>
        <w:t>（2）制度建立</w:t>
      </w:r>
    </w:p>
    <w:p>
      <w:pPr>
        <w:spacing w:line="600" w:lineRule="exact"/>
        <w:ind w:firstLine="600" w:firstLineChars="200"/>
        <w:rPr>
          <w:szCs w:val="30"/>
          <w:shd w:val="clear" w:color="auto" w:fill="FFFFFF"/>
        </w:rPr>
      </w:pPr>
      <w:r>
        <w:rPr>
          <w:rFonts w:hint="eastAsia"/>
          <w:szCs w:val="30"/>
          <w:shd w:val="clear" w:color="auto" w:fill="FFFFFF"/>
        </w:rPr>
        <w:t>区经信委严格按照《关于印发重庆市梁平区新型冠状病毒感染的肺炎疫情应急物资管理制度的通知》</w:t>
      </w:r>
      <w:r>
        <w:rPr>
          <w:rFonts w:hint="eastAsia" w:cs="宋体"/>
          <w:color w:val="000000"/>
          <w:kern w:val="2"/>
          <w:szCs w:val="30"/>
        </w:rPr>
        <w:t>（梁肺炎应急组发〔2020〕2号）</w:t>
      </w:r>
      <w:r>
        <w:rPr>
          <w:rFonts w:hint="eastAsia"/>
          <w:szCs w:val="30"/>
          <w:shd w:val="clear" w:color="auto" w:fill="FFFFFF"/>
        </w:rPr>
        <w:t>等政策文件规范管理制度实施，从物资采购、物资库存、物资发放等方面对整个工作流程进行规范和监管，确保项目顺利实施。管理制度合法、合规、相对健全。</w:t>
      </w:r>
    </w:p>
    <w:p>
      <w:pPr>
        <w:spacing w:line="600" w:lineRule="exact"/>
        <w:ind w:firstLine="600" w:firstLineChars="200"/>
        <w:rPr>
          <w:rFonts w:cs="仿宋"/>
          <w:szCs w:val="30"/>
          <w:shd w:val="clear" w:color="auto" w:fill="FFFFFF" w:themeFill="background1"/>
        </w:rPr>
      </w:pPr>
      <w:r>
        <w:rPr>
          <w:rFonts w:hint="eastAsia" w:cs="仿宋"/>
          <w:szCs w:val="30"/>
          <w:shd w:val="clear" w:color="auto" w:fill="FFFFFF" w:themeFill="background1"/>
        </w:rPr>
        <w:t>（3）制度执行有效性</w:t>
      </w:r>
    </w:p>
    <w:p>
      <w:pPr>
        <w:ind w:firstLine="600" w:firstLineChars="200"/>
      </w:pPr>
      <w:r>
        <w:rPr>
          <w:rFonts w:hint="eastAsia"/>
        </w:rPr>
        <w:t>通过现场查阅资料，区经信委对采购的防疫物资按照规定记录《新型冠状病毒感染的肺炎疫情防控物资入库明细表》，并对购买防疫物资支付情况登记《梁平区经济信息委购买新型冠状病毒感染的肺炎疫情防控物资情况表》。对物资发放计入《防疫应急物资发放表》并做好《新型冠状病毒防疫物资库存情况统计表》。根据文件要求，防疫风险等级调低后，剩余防疫物资于2020年5月12日全数移交区卫生健康委员会（以下简称“区卫健委”），由区卫健委统一调配使用。具体库存情况及移交清单如下：</w:t>
      </w:r>
    </w:p>
    <w:tbl>
      <w:tblPr>
        <w:tblStyle w:val="11"/>
        <w:tblW w:w="8821" w:type="dxa"/>
        <w:jc w:val="center"/>
        <w:tblLayout w:type="fixed"/>
        <w:tblCellMar>
          <w:top w:w="0" w:type="dxa"/>
          <w:left w:w="0" w:type="dxa"/>
          <w:bottom w:w="0" w:type="dxa"/>
          <w:right w:w="0" w:type="dxa"/>
        </w:tblCellMar>
      </w:tblPr>
      <w:tblGrid>
        <w:gridCol w:w="615"/>
        <w:gridCol w:w="1770"/>
        <w:gridCol w:w="1114"/>
        <w:gridCol w:w="1540"/>
        <w:gridCol w:w="1063"/>
        <w:gridCol w:w="2027"/>
        <w:gridCol w:w="692"/>
      </w:tblGrid>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color w:val="000000"/>
                <w:sz w:val="24"/>
                <w:szCs w:val="24"/>
              </w:rPr>
            </w:pPr>
            <w:r>
              <w:rPr>
                <w:rFonts w:hint="eastAsia" w:cs="仿宋"/>
                <w:b/>
                <w:color w:val="000000"/>
                <w:kern w:val="0"/>
                <w:sz w:val="24"/>
                <w:szCs w:val="24"/>
                <w:lang w:bidi="ar"/>
              </w:rPr>
              <w:t>序号</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color w:val="000000"/>
                <w:sz w:val="24"/>
                <w:szCs w:val="24"/>
              </w:rPr>
            </w:pPr>
            <w:r>
              <w:rPr>
                <w:rFonts w:hint="eastAsia" w:cs="仿宋"/>
                <w:b/>
                <w:color w:val="000000"/>
                <w:kern w:val="0"/>
                <w:sz w:val="24"/>
                <w:szCs w:val="24"/>
                <w:lang w:bidi="ar"/>
              </w:rPr>
              <w:t>物资名称</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color w:val="000000"/>
                <w:sz w:val="24"/>
                <w:szCs w:val="24"/>
              </w:rPr>
            </w:pPr>
            <w:r>
              <w:rPr>
                <w:rFonts w:hint="eastAsia" w:cs="仿宋"/>
                <w:b/>
                <w:color w:val="000000"/>
                <w:kern w:val="0"/>
                <w:sz w:val="24"/>
                <w:szCs w:val="24"/>
                <w:lang w:bidi="ar"/>
              </w:rPr>
              <w:t>计量单位</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color w:val="000000"/>
                <w:sz w:val="24"/>
                <w:szCs w:val="24"/>
              </w:rPr>
            </w:pPr>
            <w:r>
              <w:rPr>
                <w:rFonts w:hint="eastAsia" w:cs="仿宋"/>
                <w:b/>
                <w:color w:val="000000"/>
                <w:kern w:val="0"/>
                <w:sz w:val="24"/>
                <w:szCs w:val="24"/>
                <w:lang w:bidi="ar"/>
              </w:rPr>
              <w:t>库存汇总数量</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color w:val="000000"/>
                <w:sz w:val="24"/>
                <w:szCs w:val="24"/>
              </w:rPr>
            </w:pPr>
            <w:r>
              <w:rPr>
                <w:rFonts w:hint="eastAsia" w:cs="仿宋"/>
                <w:b/>
                <w:color w:val="000000"/>
                <w:kern w:val="0"/>
                <w:sz w:val="24"/>
                <w:szCs w:val="24"/>
                <w:lang w:bidi="ar"/>
              </w:rPr>
              <w:t>移交数量</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color w:val="000000"/>
                <w:sz w:val="24"/>
                <w:szCs w:val="24"/>
              </w:rPr>
            </w:pPr>
            <w:r>
              <w:rPr>
                <w:rFonts w:hint="eastAsia" w:cs="仿宋"/>
                <w:b/>
                <w:color w:val="000000"/>
                <w:kern w:val="0"/>
                <w:sz w:val="24"/>
                <w:szCs w:val="24"/>
                <w:lang w:bidi="ar"/>
              </w:rPr>
              <w:t>备注</w:t>
            </w: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color w:val="000000"/>
                <w:sz w:val="24"/>
                <w:szCs w:val="24"/>
              </w:rPr>
            </w:pPr>
            <w:r>
              <w:rPr>
                <w:rFonts w:hint="eastAsia" w:cs="仿宋"/>
                <w:b/>
                <w:color w:val="000000"/>
                <w:kern w:val="0"/>
                <w:sz w:val="24"/>
                <w:szCs w:val="24"/>
                <w:lang w:bidi="ar"/>
              </w:rPr>
              <w:t>盘盈</w:t>
            </w: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一次性口罩</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个</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156357</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156357</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cs="仿宋"/>
                <w:color w:val="000000"/>
                <w:sz w:val="24"/>
                <w:szCs w:val="24"/>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二氧化氯消毒剂</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L</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400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400</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cs="仿宋"/>
                <w:color w:val="000000"/>
                <w:sz w:val="24"/>
                <w:szCs w:val="24"/>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电子测温仪</w:t>
            </w:r>
          </w:p>
        </w:tc>
        <w:tc>
          <w:tcPr>
            <w:tcW w:w="1114"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个</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282</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282</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cs="仿宋"/>
                <w:color w:val="000000"/>
                <w:sz w:val="24"/>
                <w:szCs w:val="24"/>
              </w:rPr>
            </w:pPr>
            <w:r>
              <w:rPr>
                <w:rFonts w:hint="eastAsia" w:cs="仿宋"/>
                <w:color w:val="000000"/>
                <w:kern w:val="0"/>
                <w:sz w:val="24"/>
                <w:szCs w:val="24"/>
                <w:lang w:bidi="ar"/>
              </w:rPr>
              <w:t>其中1个耳温枪</w:t>
            </w: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4</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84消毒液</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kg</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924</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924</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cs="仿宋"/>
                <w:color w:val="000000"/>
                <w:sz w:val="24"/>
                <w:szCs w:val="24"/>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5</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75%酒精</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kg</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5</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5</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cs="仿宋"/>
                <w:color w:val="000000"/>
                <w:sz w:val="24"/>
                <w:szCs w:val="24"/>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6</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N90口罩</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个</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20093</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20093</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cs="仿宋"/>
                <w:color w:val="000000"/>
                <w:sz w:val="24"/>
                <w:szCs w:val="24"/>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7</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KN95口罩</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个</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16646</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16839</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cs="仿宋"/>
                <w:color w:val="000000"/>
                <w:sz w:val="24"/>
                <w:szCs w:val="24"/>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193</w:t>
            </w: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8</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KF94</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个</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20000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20000</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cs="仿宋"/>
                <w:color w:val="000000"/>
                <w:sz w:val="24"/>
                <w:szCs w:val="24"/>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1347"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9</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防防服</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套</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6029</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6029</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cs="仿宋"/>
                <w:color w:val="000000"/>
                <w:sz w:val="24"/>
                <w:szCs w:val="24"/>
              </w:rPr>
            </w:pPr>
            <w:r>
              <w:rPr>
                <w:rFonts w:hint="eastAsia" w:cs="仿宋"/>
                <w:color w:val="000000"/>
                <w:kern w:val="0"/>
                <w:sz w:val="24"/>
                <w:szCs w:val="24"/>
                <w:lang w:bidi="ar"/>
              </w:rPr>
              <w:t>其中韩国防护服4968套，重复使用防护服931套，圣兰心防护服130套。</w:t>
            </w: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10</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防护手套</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双</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6968</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6968</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cs="仿宋"/>
                <w:color w:val="000000"/>
                <w:sz w:val="24"/>
                <w:szCs w:val="24"/>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280"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电动喷雾器</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套</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264</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264</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cs="仿宋"/>
                <w:color w:val="000000"/>
                <w:sz w:val="24"/>
                <w:szCs w:val="24"/>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cs="仿宋"/>
                <w:color w:val="000000"/>
                <w:sz w:val="24"/>
                <w:szCs w:val="24"/>
              </w:rPr>
            </w:pPr>
          </w:p>
        </w:tc>
      </w:tr>
      <w:tr>
        <w:tblPrEx>
          <w:tblCellMar>
            <w:top w:w="0" w:type="dxa"/>
            <w:left w:w="0" w:type="dxa"/>
            <w:bottom w:w="0" w:type="dxa"/>
            <w:right w:w="0" w:type="dxa"/>
          </w:tblCellMar>
        </w:tblPrEx>
        <w:trPr>
          <w:trHeight w:val="548" w:hRule="atLeast"/>
          <w:jc w:val="center"/>
        </w:trPr>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护目镜</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个</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707</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1208</w:t>
            </w:r>
          </w:p>
        </w:tc>
        <w:tc>
          <w:tcPr>
            <w:tcW w:w="20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cs="仿宋"/>
                <w:color w:val="000000"/>
                <w:sz w:val="24"/>
                <w:szCs w:val="24"/>
              </w:rPr>
            </w:pPr>
            <w:r>
              <w:rPr>
                <w:rFonts w:hint="eastAsia" w:cs="仿宋"/>
                <w:color w:val="000000"/>
                <w:kern w:val="0"/>
                <w:sz w:val="24"/>
                <w:szCs w:val="24"/>
                <w:lang w:bidi="ar"/>
              </w:rPr>
              <w:t>含游泳镜208个，其中区医院500个护目镜已签字未领出。</w:t>
            </w: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w:t>
            </w:r>
          </w:p>
        </w:tc>
      </w:tr>
    </w:tbl>
    <w:p>
      <w:pPr>
        <w:widowControl/>
        <w:spacing w:line="600" w:lineRule="exact"/>
        <w:ind w:firstLine="600" w:firstLineChars="200"/>
        <w:rPr>
          <w:szCs w:val="30"/>
          <w:shd w:val="clear" w:color="auto" w:fill="FFFFFF"/>
        </w:rPr>
      </w:pPr>
      <w:r>
        <w:rPr>
          <w:rFonts w:hint="eastAsia"/>
          <w:szCs w:val="30"/>
          <w:shd w:val="clear" w:color="auto" w:fill="FFFFFF"/>
        </w:rPr>
        <w:t>根据《新冠肺炎疫情防控应急物资移交清单》与《梁平区经济信息委新型冠状病毒肺炎疫情防控物资汇总表》数据，部分剩余防疫物资数量存在盘盈的情况。经询问区经信委管理人员了解到，由于防疫物资采购入库数量较大且时间紧张工作量大，每日都存在大量入库、出库，故</w:t>
      </w:r>
      <w:r>
        <w:rPr>
          <w:rFonts w:hint="eastAsia"/>
          <w:szCs w:val="30"/>
          <w:shd w:val="clear" w:color="auto" w:fill="FFFFFF"/>
          <w:lang w:val="en-US" w:eastAsia="zh-CN"/>
        </w:rPr>
        <w:t>部分物资</w:t>
      </w:r>
      <w:r>
        <w:rPr>
          <w:rFonts w:hint="eastAsia"/>
          <w:szCs w:val="30"/>
          <w:shd w:val="clear" w:color="auto" w:fill="FFFFFF"/>
        </w:rPr>
        <w:t>入库登记时未一一点算以供应商发货数量登记，存在入库数量大于采购数量的情况导致盘盈。</w:t>
      </w:r>
    </w:p>
    <w:p>
      <w:pPr>
        <w:widowControl/>
        <w:spacing w:line="600" w:lineRule="exact"/>
        <w:ind w:firstLine="600" w:firstLineChars="200"/>
        <w:rPr>
          <w:szCs w:val="30"/>
          <w:shd w:val="clear" w:color="auto" w:fill="FFFFFF"/>
        </w:rPr>
      </w:pPr>
      <w:r>
        <w:rPr>
          <w:rFonts w:hint="eastAsia"/>
          <w:szCs w:val="30"/>
          <w:shd w:val="clear" w:color="auto" w:fill="FFFFFF"/>
        </w:rPr>
        <w:t>评价小组认为，防疫物资采购项目在执行过程中，存在部分物资入库未见入库随行单，入库明细表中存在入库签收人大部分为1人签字、少部分未签字的情况，且实际移交物资与防疫物资汇总表存在盘盈的情况，物资</w:t>
      </w:r>
      <w:r>
        <w:rPr>
          <w:rFonts w:hint="eastAsia"/>
          <w:szCs w:val="30"/>
          <w:shd w:val="clear" w:color="auto" w:fill="FFFFFF"/>
          <w:lang w:val="en-US" w:eastAsia="zh-CN"/>
        </w:rPr>
        <w:t>入库</w:t>
      </w:r>
      <w:r>
        <w:rPr>
          <w:rFonts w:hint="eastAsia"/>
          <w:szCs w:val="30"/>
          <w:shd w:val="clear" w:color="auto" w:fill="FFFFFF"/>
        </w:rPr>
        <w:t>管理不到位。</w:t>
      </w:r>
    </w:p>
    <w:p>
      <w:pPr>
        <w:spacing w:line="600" w:lineRule="exact"/>
        <w:ind w:firstLine="600" w:firstLineChars="200"/>
        <w:rPr>
          <w:rFonts w:cs="仿宋"/>
          <w:szCs w:val="30"/>
          <w:shd w:val="clear" w:color="auto" w:fill="FFFFFF" w:themeFill="background1"/>
        </w:rPr>
      </w:pPr>
      <w:r>
        <w:rPr>
          <w:rFonts w:hint="eastAsia" w:cs="仿宋"/>
          <w:szCs w:val="30"/>
          <w:shd w:val="clear" w:color="auto" w:fill="FFFFFF" w:themeFill="background1"/>
        </w:rPr>
        <w:t>（4）项目质量可控性</w:t>
      </w:r>
    </w:p>
    <w:p>
      <w:pPr>
        <w:spacing w:line="600" w:lineRule="exact"/>
        <w:ind w:firstLine="600" w:firstLineChars="200"/>
        <w:rPr>
          <w:szCs w:val="30"/>
          <w:shd w:val="clear" w:color="auto" w:fill="FFFFFF"/>
        </w:rPr>
      </w:pPr>
      <w:r>
        <w:rPr>
          <w:rFonts w:hint="eastAsia"/>
          <w:szCs w:val="30"/>
          <w:shd w:val="clear" w:color="auto" w:fill="FFFFFF"/>
        </w:rPr>
        <w:t>通过现场查阅资料，区经信委严格按照《重庆市梁平区新型冠状病毒感染的肺炎疫情应急物资管理制度》执行防疫物资采购及管理工作。在项目实施过程中，区经信委按照“急事急办、效率优先”的原则，根据物资保障组指令，在全球范围内及时采购各类疫情防控物资，全力保障物资供应；坚持“谁主管、谁负责”的原则，要求库存组负责做好采购的各类疫情防控物资出入库登记；物资调拨发放遵循“优先保障医护人员、第一线抗疫人员、相关执法保供人员所需，再统筹社会市场所需”的原则，发放组严格执行疫情防控指挥部应急物资调拨方案，按照区领导审签的方案明细及时从库存组领取次日发放物资，并按要求做好出库登记。项目实施情况良好，管理情况良好。</w:t>
      </w:r>
    </w:p>
    <w:p>
      <w:pPr>
        <w:spacing w:line="600" w:lineRule="exact"/>
        <w:ind w:firstLine="600" w:firstLineChars="200"/>
        <w:rPr>
          <w:szCs w:val="30"/>
          <w:highlight w:val="yellow"/>
          <w:shd w:val="clear" w:color="auto" w:fill="FFFFFF"/>
        </w:rPr>
      </w:pPr>
      <w:r>
        <w:rPr>
          <w:rFonts w:hint="eastAsia"/>
          <w:szCs w:val="30"/>
          <w:shd w:val="clear" w:color="auto" w:fill="FFFFFF"/>
        </w:rPr>
        <w:t>虽然已经建立防疫物资出入库明细账，但项目在2020年1月至2020年5月12日期间未定期进行盘点程序，未能准确把控库存物资情况，导致移交过程中存在盘盈的情况。项目采购执行过程中未组织考评检查，未见相关检查考核文件，过程监督管理不到位。</w:t>
      </w:r>
    </w:p>
    <w:p>
      <w:pPr>
        <w:ind w:firstLine="600" w:firstLineChars="200"/>
      </w:pPr>
      <w:r>
        <w:rPr>
          <w:rFonts w:hint="eastAsia"/>
          <w:shd w:val="clear" w:color="auto" w:fill="FFFFFF" w:themeFill="background1"/>
        </w:rPr>
        <w:t>经综合分析</w:t>
      </w:r>
      <w:r>
        <w:rPr>
          <w:rFonts w:hint="eastAsia" w:cs="仿宋"/>
          <w:kern w:val="2"/>
          <w:szCs w:val="30"/>
        </w:rPr>
        <w:t>，</w:t>
      </w:r>
      <w:r>
        <w:rPr>
          <w:rFonts w:hint="eastAsia"/>
          <w:szCs w:val="30"/>
          <w:shd w:val="clear" w:color="auto" w:fill="FFFFFF"/>
        </w:rPr>
        <w:t>该项目业务管理较规范，项目实施情况良好，但区经信委存在物资采购管理不到位，未组织考评检查，过程监督管理需进一步加强的情况。</w:t>
      </w:r>
      <w:r>
        <w:rPr>
          <w:rFonts w:hint="eastAsia" w:cs="仿宋"/>
          <w:kern w:val="2"/>
          <w:szCs w:val="30"/>
        </w:rPr>
        <w:t>本项指标分值10.00分，得分8.00分</w:t>
      </w:r>
      <w:r>
        <w:rPr>
          <w:rFonts w:hint="eastAsia" w:cs="仿宋"/>
          <w:szCs w:val="30"/>
          <w:shd w:val="clear" w:color="auto" w:fill="FFFFFF" w:themeFill="background1"/>
        </w:rPr>
        <w:t>。</w:t>
      </w:r>
    </w:p>
    <w:p>
      <w:pPr>
        <w:spacing w:line="600" w:lineRule="exact"/>
        <w:ind w:firstLine="600" w:firstLineChars="200"/>
        <w:outlineLvl w:val="1"/>
        <w:rPr>
          <w:rFonts w:ascii="楷体" w:hAnsi="楷体" w:eastAsia="楷体" w:cs="楷体"/>
          <w:szCs w:val="30"/>
          <w:shd w:val="clear" w:color="auto" w:fill="FFFFFF" w:themeFill="background1"/>
        </w:rPr>
      </w:pPr>
      <w:bookmarkStart w:id="76" w:name="_Toc26456"/>
      <w:bookmarkStart w:id="77" w:name="_Toc16545"/>
      <w:r>
        <w:rPr>
          <w:rFonts w:hint="eastAsia" w:ascii="楷体" w:hAnsi="楷体" w:eastAsia="楷体" w:cs="楷体"/>
          <w:szCs w:val="30"/>
          <w:shd w:val="clear" w:color="auto" w:fill="FFFFFF" w:themeFill="background1"/>
        </w:rPr>
        <w:t>（三）项目产出</w:t>
      </w:r>
      <w:bookmarkEnd w:id="76"/>
      <w:bookmarkEnd w:id="77"/>
    </w:p>
    <w:p>
      <w:pPr>
        <w:spacing w:line="600" w:lineRule="exact"/>
        <w:ind w:firstLine="600" w:firstLineChars="200"/>
        <w:rPr>
          <w:rFonts w:ascii="楷体" w:hAnsi="楷体" w:eastAsia="楷体"/>
          <w:szCs w:val="30"/>
          <w:shd w:val="clear" w:color="auto" w:fill="FFFFFF" w:themeFill="background1"/>
        </w:rPr>
      </w:pPr>
      <w:bookmarkStart w:id="78" w:name="_Toc23937"/>
      <w:r>
        <w:rPr>
          <w:rFonts w:hint="eastAsia"/>
          <w:szCs w:val="30"/>
          <w:shd w:val="clear" w:color="auto" w:fill="FFFFFF"/>
        </w:rPr>
        <w:t>1.产出数量</w:t>
      </w:r>
      <w:bookmarkEnd w:id="78"/>
    </w:p>
    <w:p>
      <w:pPr>
        <w:widowControl/>
        <w:spacing w:line="600" w:lineRule="exact"/>
        <w:ind w:firstLine="600" w:firstLineChars="200"/>
        <w:rPr>
          <w:szCs w:val="30"/>
          <w:shd w:val="clear" w:color="auto" w:fill="FFFFFF"/>
        </w:rPr>
      </w:pPr>
      <w:r>
        <w:rPr>
          <w:rFonts w:hint="eastAsia"/>
          <w:szCs w:val="30"/>
          <w:shd w:val="clear" w:color="auto" w:fill="FFFFFF"/>
        </w:rPr>
        <w:t>（1）实际完成率</w:t>
      </w:r>
    </w:p>
    <w:p>
      <w:pPr>
        <w:widowControl/>
        <w:ind w:firstLine="600" w:firstLineChars="200"/>
        <w:rPr>
          <w:szCs w:val="30"/>
          <w:shd w:val="clear" w:color="auto" w:fill="FFFFFF"/>
        </w:rPr>
      </w:pPr>
      <w:r>
        <w:rPr>
          <w:rFonts w:hint="eastAsia"/>
          <w:szCs w:val="30"/>
          <w:shd w:val="clear" w:color="auto" w:fill="FFFFFF"/>
        </w:rPr>
        <w:t>通过项目小组资料收集和现场调研，区经信委防疫物资采购执行的经费项目资金主要用于紧急处置新型冠状病毒感染的肺炎疫情所需的口罩、消毒用品、防护服、手套以及手持测温仪等物资。防疫物资发放系根据《重庆市梁平区新型冠状病毒感染的肺炎疫情应急物资管理制度》遵循“优先保障医护人员、第一线抗疫人员、相关执法保供人员所需，再统筹社会市场所需”的原则，发放组严格执行疫情防控指挥部应急物资调拨方案，按照区领导审签的方案明细及时从库存组领取次日发放物资。具体情况如下表：</w:t>
      </w:r>
    </w:p>
    <w:tbl>
      <w:tblPr>
        <w:tblStyle w:val="11"/>
        <w:tblW w:w="8821" w:type="dxa"/>
        <w:jc w:val="center"/>
        <w:tblLayout w:type="autofit"/>
        <w:tblCellMar>
          <w:top w:w="0" w:type="dxa"/>
          <w:left w:w="0" w:type="dxa"/>
          <w:bottom w:w="0" w:type="dxa"/>
          <w:right w:w="0" w:type="dxa"/>
        </w:tblCellMar>
      </w:tblPr>
      <w:tblGrid>
        <w:gridCol w:w="2047"/>
        <w:gridCol w:w="2631"/>
        <w:gridCol w:w="2631"/>
        <w:gridCol w:w="1512"/>
      </w:tblGrid>
      <w:tr>
        <w:tblPrEx>
          <w:tblCellMar>
            <w:top w:w="0" w:type="dxa"/>
            <w:left w:w="0" w:type="dxa"/>
            <w:bottom w:w="0" w:type="dxa"/>
            <w:right w:w="0" w:type="dxa"/>
          </w:tblCellMar>
        </w:tblPrEx>
        <w:trPr>
          <w:trHeight w:val="278" w:hRule="atLeast"/>
          <w:jc w:val="center"/>
        </w:trPr>
        <w:tc>
          <w:tcPr>
            <w:tcW w:w="1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bCs/>
                <w:color w:val="000000"/>
                <w:sz w:val="24"/>
                <w:szCs w:val="24"/>
              </w:rPr>
            </w:pPr>
            <w:bookmarkStart w:id="79" w:name="_Toc14185"/>
            <w:r>
              <w:rPr>
                <w:rFonts w:hint="eastAsia" w:cs="仿宋"/>
                <w:b/>
                <w:bCs/>
                <w:color w:val="000000"/>
                <w:kern w:val="0"/>
                <w:sz w:val="24"/>
                <w:szCs w:val="24"/>
                <w:lang w:bidi="ar"/>
              </w:rPr>
              <w:t>采购种类</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bCs/>
                <w:color w:val="000000"/>
                <w:sz w:val="24"/>
                <w:szCs w:val="24"/>
              </w:rPr>
            </w:pPr>
            <w:r>
              <w:rPr>
                <w:rFonts w:hint="eastAsia" w:cs="仿宋"/>
                <w:b/>
                <w:bCs/>
                <w:color w:val="000000"/>
                <w:kern w:val="0"/>
                <w:sz w:val="24"/>
                <w:szCs w:val="24"/>
                <w:lang w:bidi="ar"/>
              </w:rPr>
              <w:t>累计入库</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bCs/>
                <w:color w:val="000000"/>
                <w:sz w:val="24"/>
                <w:szCs w:val="24"/>
              </w:rPr>
            </w:pPr>
            <w:r>
              <w:rPr>
                <w:rFonts w:hint="eastAsia" w:cs="仿宋"/>
                <w:b/>
                <w:bCs/>
                <w:color w:val="000000"/>
                <w:kern w:val="0"/>
                <w:sz w:val="24"/>
                <w:szCs w:val="24"/>
                <w:lang w:bidi="ar"/>
              </w:rPr>
              <w:t>累计发放</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b/>
                <w:bCs/>
                <w:color w:val="000000"/>
                <w:sz w:val="24"/>
                <w:szCs w:val="24"/>
              </w:rPr>
            </w:pPr>
            <w:r>
              <w:rPr>
                <w:rFonts w:hint="eastAsia" w:cs="仿宋"/>
                <w:b/>
                <w:bCs/>
                <w:color w:val="000000"/>
                <w:kern w:val="0"/>
                <w:sz w:val="24"/>
                <w:szCs w:val="24"/>
                <w:lang w:bidi="ar"/>
              </w:rPr>
              <w:t>库存</w:t>
            </w:r>
          </w:p>
        </w:tc>
      </w:tr>
      <w:tr>
        <w:tblPrEx>
          <w:tblCellMar>
            <w:top w:w="0" w:type="dxa"/>
            <w:left w:w="0" w:type="dxa"/>
            <w:bottom w:w="0" w:type="dxa"/>
            <w:right w:w="0" w:type="dxa"/>
          </w:tblCellMar>
        </w:tblPrEx>
        <w:trPr>
          <w:trHeight w:val="27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口罩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366296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228545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137751</w:t>
            </w:r>
          </w:p>
        </w:tc>
      </w:tr>
      <w:tr>
        <w:tblPrEx>
          <w:tblCellMar>
            <w:top w:w="0" w:type="dxa"/>
            <w:left w:w="0" w:type="dxa"/>
            <w:bottom w:w="0" w:type="dxa"/>
            <w:right w:w="0" w:type="dxa"/>
          </w:tblCellMar>
        </w:tblPrEx>
        <w:trPr>
          <w:trHeight w:val="27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消毒用品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5</w:t>
            </w:r>
          </w:p>
        </w:tc>
      </w:tr>
      <w:tr>
        <w:tblPrEx>
          <w:tblCellMar>
            <w:top w:w="0" w:type="dxa"/>
            <w:left w:w="0" w:type="dxa"/>
            <w:bottom w:w="0" w:type="dxa"/>
            <w:right w:w="0" w:type="dxa"/>
          </w:tblCellMar>
        </w:tblPrEx>
        <w:trPr>
          <w:trHeight w:val="27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喷雾器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264</w:t>
            </w:r>
          </w:p>
        </w:tc>
      </w:tr>
      <w:tr>
        <w:tblPrEx>
          <w:tblCellMar>
            <w:top w:w="0" w:type="dxa"/>
            <w:left w:w="0" w:type="dxa"/>
            <w:bottom w:w="0" w:type="dxa"/>
            <w:right w:w="0" w:type="dxa"/>
          </w:tblCellMar>
        </w:tblPrEx>
        <w:trPr>
          <w:trHeight w:val="27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防护服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7292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1263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6029</w:t>
            </w:r>
          </w:p>
        </w:tc>
      </w:tr>
      <w:tr>
        <w:tblPrEx>
          <w:tblCellMar>
            <w:top w:w="0" w:type="dxa"/>
            <w:left w:w="0" w:type="dxa"/>
            <w:bottom w:w="0" w:type="dxa"/>
            <w:right w:w="0" w:type="dxa"/>
          </w:tblCellMar>
        </w:tblPrEx>
        <w:trPr>
          <w:trHeight w:val="27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7508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6968</w:t>
            </w:r>
          </w:p>
        </w:tc>
      </w:tr>
      <w:tr>
        <w:tblPrEx>
          <w:tblCellMar>
            <w:top w:w="0" w:type="dxa"/>
            <w:left w:w="0" w:type="dxa"/>
            <w:bottom w:w="0" w:type="dxa"/>
            <w:right w:w="0" w:type="dxa"/>
          </w:tblCellMar>
        </w:tblPrEx>
        <w:trPr>
          <w:trHeight w:val="27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测温仪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830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548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282</w:t>
            </w:r>
          </w:p>
        </w:tc>
      </w:tr>
      <w:tr>
        <w:tblPrEx>
          <w:tblCellMar>
            <w:top w:w="0" w:type="dxa"/>
            <w:left w:w="0" w:type="dxa"/>
            <w:bottom w:w="0" w:type="dxa"/>
            <w:right w:w="0" w:type="dxa"/>
          </w:tblCellMar>
        </w:tblPrEx>
        <w:trPr>
          <w:trHeight w:val="27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护目镜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207</w:t>
            </w:r>
          </w:p>
        </w:tc>
      </w:tr>
      <w:tr>
        <w:tblPrEx>
          <w:tblCellMar>
            <w:top w:w="0" w:type="dxa"/>
            <w:left w:w="0" w:type="dxa"/>
            <w:bottom w:w="0" w:type="dxa"/>
            <w:right w:w="0" w:type="dxa"/>
          </w:tblCellMar>
        </w:tblPrEx>
        <w:trPr>
          <w:trHeight w:val="27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热成像仪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cs="仿宋"/>
                <w:color w:val="000000"/>
                <w:sz w:val="24"/>
                <w:szCs w:val="24"/>
              </w:rPr>
            </w:pPr>
            <w:r>
              <w:rPr>
                <w:rFonts w:hint="eastAsia" w:cs="仿宋"/>
                <w:color w:val="000000"/>
                <w:kern w:val="0"/>
                <w:sz w:val="24"/>
                <w:szCs w:val="24"/>
                <w:lang w:bidi="ar"/>
              </w:rPr>
              <w:t>-</w:t>
            </w:r>
          </w:p>
        </w:tc>
      </w:tr>
    </w:tbl>
    <w:p>
      <w:pPr>
        <w:ind w:firstLine="600" w:firstLineChars="200"/>
        <w:rPr>
          <w:rFonts w:cs="仿宋"/>
          <w:szCs w:val="30"/>
          <w:shd w:val="clear" w:color="auto" w:fill="FFFFFF" w:themeFill="background1"/>
        </w:rPr>
      </w:pPr>
      <w:r>
        <w:rPr>
          <w:rFonts w:hint="eastAsia" w:cs="仿宋"/>
          <w:szCs w:val="30"/>
          <w:shd w:val="clear" w:color="auto" w:fill="FFFFFF" w:themeFill="background1"/>
        </w:rPr>
        <w:t>防疫物资采购已</w:t>
      </w:r>
      <w:r>
        <w:rPr>
          <w:rFonts w:hint="eastAsia" w:cs="仿宋"/>
          <w:szCs w:val="30"/>
          <w:shd w:val="clear" w:color="auto" w:fill="FFFFFF" w:themeFill="background1"/>
          <w:lang w:val="en-US" w:eastAsia="zh-CN"/>
        </w:rPr>
        <w:t>按照</w:t>
      </w:r>
      <w:r>
        <w:rPr>
          <w:rFonts w:hint="eastAsia" w:cs="仿宋"/>
          <w:szCs w:val="30"/>
          <w:shd w:val="clear" w:color="auto" w:fill="FFFFFF" w:themeFill="background1"/>
        </w:rPr>
        <w:t>预算安排的592.60万元执行并完成，</w:t>
      </w:r>
      <w:r>
        <w:rPr>
          <w:rFonts w:hint="eastAsia"/>
          <w:szCs w:val="30"/>
          <w:shd w:val="clear" w:color="auto" w:fill="FFFFFF"/>
        </w:rPr>
        <w:t>防疫物资发放也根据制度及文件要求及时发放，保障一线工作人员及社会市场需求。</w:t>
      </w:r>
    </w:p>
    <w:p>
      <w:pPr>
        <w:ind w:firstLine="600" w:firstLineChars="200"/>
        <w:rPr>
          <w:rFonts w:cs="仿宋"/>
          <w:szCs w:val="30"/>
          <w:shd w:val="clear" w:color="auto" w:fill="FFFFFF" w:themeFill="background1"/>
        </w:rPr>
      </w:pPr>
      <w:r>
        <w:rPr>
          <w:rFonts w:hint="eastAsia" w:cs="仿宋"/>
          <w:szCs w:val="30"/>
          <w:shd w:val="clear" w:color="auto" w:fill="FFFFFF" w:themeFill="background1"/>
        </w:rPr>
        <w:t>综上所述，本项目疫情防控物资采购完成率为100%，疫情防控物资供应率为100.00%，评价认为该项目完成情况较好。</w:t>
      </w:r>
      <w:r>
        <w:rPr>
          <w:rFonts w:hint="eastAsia" w:cs="仿宋"/>
          <w:kern w:val="2"/>
          <w:szCs w:val="30"/>
        </w:rPr>
        <w:t>本项指标分值8.00分，得分8.00分</w:t>
      </w:r>
      <w:r>
        <w:rPr>
          <w:rFonts w:hint="eastAsia" w:cs="仿宋"/>
          <w:szCs w:val="30"/>
          <w:shd w:val="clear" w:color="auto" w:fill="FFFFFF" w:themeFill="background1"/>
        </w:rPr>
        <w:t>。</w:t>
      </w:r>
    </w:p>
    <w:p>
      <w:pPr>
        <w:ind w:firstLine="600" w:firstLineChars="200"/>
        <w:rPr>
          <w:rFonts w:cs="仿宋"/>
          <w:szCs w:val="30"/>
          <w:shd w:val="clear" w:color="auto" w:fill="FFFFFF" w:themeFill="background1"/>
        </w:rPr>
      </w:pPr>
      <w:r>
        <w:rPr>
          <w:rFonts w:hint="eastAsia" w:cs="仿宋"/>
          <w:szCs w:val="30"/>
          <w:shd w:val="clear" w:color="auto" w:fill="FFFFFF" w:themeFill="background1"/>
        </w:rPr>
        <w:t>2.产出质量</w:t>
      </w:r>
      <w:bookmarkEnd w:id="79"/>
    </w:p>
    <w:p>
      <w:pPr>
        <w:widowControl/>
        <w:spacing w:line="600" w:lineRule="exact"/>
        <w:ind w:firstLine="600" w:firstLineChars="200"/>
        <w:rPr>
          <w:szCs w:val="30"/>
          <w:shd w:val="clear" w:color="auto" w:fill="FFFFFF"/>
        </w:rPr>
      </w:pPr>
      <w:r>
        <w:rPr>
          <w:rFonts w:hint="eastAsia"/>
          <w:szCs w:val="30"/>
          <w:shd w:val="clear" w:color="auto" w:fill="FFFFFF"/>
        </w:rPr>
        <w:t>（1）质量达标率</w:t>
      </w:r>
    </w:p>
    <w:p>
      <w:pPr>
        <w:spacing w:line="600" w:lineRule="exact"/>
        <w:ind w:firstLine="600" w:firstLineChars="200"/>
        <w:rPr>
          <w:szCs w:val="30"/>
          <w:shd w:val="clear" w:color="auto" w:fill="FFFFFF"/>
        </w:rPr>
      </w:pPr>
      <w:bookmarkStart w:id="80" w:name="_Toc15121"/>
      <w:r>
        <w:rPr>
          <w:rFonts w:hint="eastAsia"/>
          <w:szCs w:val="30"/>
          <w:shd w:val="clear" w:color="auto" w:fill="FFFFFF"/>
        </w:rPr>
        <w:t>区经信委防疫物资采购执行的经费项目资金主要用于购买防护用品，在采购防疫物资前依据规定向区政府请示经批准后进行采购，并筛选符合要求的供应商，按照请示中申请购买的防疫物资签订采购合同，并于合同中约定供应商应保证提供防疫物资符合国家及行业标准，确保防疫物资质量。购买的防疫物资在约定时间进行交付和验收时，区经信委管理人员对防疫</w:t>
      </w:r>
      <w:r>
        <w:rPr>
          <w:rFonts w:hint="eastAsia"/>
          <w:szCs w:val="30"/>
          <w:shd w:val="clear" w:color="auto" w:fill="FFFFFF"/>
          <w:lang w:eastAsia="zh-CN"/>
        </w:rPr>
        <w:t>物资</w:t>
      </w:r>
      <w:r>
        <w:rPr>
          <w:rFonts w:hint="eastAsia"/>
          <w:szCs w:val="30"/>
          <w:shd w:val="clear" w:color="auto" w:fill="FFFFFF"/>
        </w:rPr>
        <w:t>的包装、外观、数量、商标、型号、规格及性能等进行验收，防疫物资验收合格率为100%，无损坏及未达标物资，并按照规定及时入库做好入库登记。经过多批次物资采购后，确保了防控物资充足并满足实际所需。</w:t>
      </w:r>
    </w:p>
    <w:p>
      <w:pPr>
        <w:spacing w:line="600" w:lineRule="exact"/>
        <w:ind w:firstLine="600" w:firstLineChars="200"/>
        <w:rPr>
          <w:szCs w:val="30"/>
          <w:shd w:val="clear" w:color="auto" w:fill="FFFFFF"/>
        </w:rPr>
      </w:pPr>
      <w:r>
        <w:rPr>
          <w:rFonts w:hint="eastAsia"/>
          <w:szCs w:val="30"/>
          <w:shd w:val="clear" w:color="auto" w:fill="FFFFFF"/>
        </w:rPr>
        <w:t>在疫情防护期间，根据区经信委的提供的疫情防控快讯及梁平日报等文件及媒体资料，区经信委枳极倘度，做好梁平区防疫物资采购，保障供应的防疫物资跟上防疫工作所需，巩固了疫情防控成果。</w:t>
      </w:r>
    </w:p>
    <w:p>
      <w:pPr>
        <w:ind w:firstLine="600" w:firstLineChars="200"/>
        <w:rPr>
          <w:rFonts w:cs="仿宋"/>
          <w:szCs w:val="30"/>
          <w:shd w:val="clear" w:color="auto" w:fill="FFFFFF" w:themeFill="background1"/>
        </w:rPr>
      </w:pPr>
      <w:r>
        <w:rPr>
          <w:rFonts w:hint="eastAsia" w:cs="仿宋"/>
          <w:szCs w:val="30"/>
          <w:shd w:val="clear" w:color="auto" w:fill="FFFFFF" w:themeFill="background1"/>
        </w:rPr>
        <w:t>综上所述，本项目购买防护用品质量合格率为100%，保障了防疫物资供应，梁平区疫情防控情况较好，且防疫风险等级调低后，剩余防疫物资全数移交区卫健委统一调配使用，评价认为该项目购买防护用品质量合规，完成情况较好。</w:t>
      </w:r>
      <w:r>
        <w:rPr>
          <w:rFonts w:hint="eastAsia" w:cs="仿宋"/>
          <w:kern w:val="2"/>
          <w:szCs w:val="30"/>
        </w:rPr>
        <w:t>本项指标分值8.00分，得分8.00分</w:t>
      </w:r>
      <w:r>
        <w:rPr>
          <w:rFonts w:hint="eastAsia" w:cs="仿宋"/>
          <w:szCs w:val="30"/>
          <w:shd w:val="clear" w:color="auto" w:fill="FFFFFF" w:themeFill="background1"/>
        </w:rPr>
        <w:t>。</w:t>
      </w:r>
    </w:p>
    <w:p>
      <w:pPr>
        <w:spacing w:line="600" w:lineRule="exact"/>
        <w:ind w:firstLine="600" w:firstLineChars="200"/>
        <w:rPr>
          <w:shd w:val="clear" w:color="auto" w:fill="FFFFFF" w:themeFill="background1"/>
        </w:rPr>
      </w:pPr>
      <w:bookmarkStart w:id="81" w:name="_Toc12475"/>
      <w:r>
        <w:rPr>
          <w:rFonts w:hint="eastAsia"/>
          <w:shd w:val="clear" w:color="auto" w:fill="FFFFFF" w:themeFill="background1"/>
        </w:rPr>
        <w:t>3.产出时效</w:t>
      </w:r>
      <w:bookmarkEnd w:id="81"/>
    </w:p>
    <w:p>
      <w:pPr>
        <w:spacing w:line="600" w:lineRule="exact"/>
        <w:ind w:firstLine="600" w:firstLineChars="200"/>
        <w:rPr>
          <w:rFonts w:cs="仿宋"/>
          <w:szCs w:val="30"/>
          <w:shd w:val="clear" w:color="auto" w:fill="FFFFFF" w:themeFill="background1"/>
        </w:rPr>
      </w:pPr>
      <w:r>
        <w:rPr>
          <w:rFonts w:hint="eastAsia" w:cs="仿宋"/>
          <w:szCs w:val="30"/>
          <w:shd w:val="clear" w:color="auto" w:fill="FFFFFF" w:themeFill="background1"/>
        </w:rPr>
        <w:t>（1）完成及时性</w:t>
      </w:r>
    </w:p>
    <w:p>
      <w:pPr>
        <w:ind w:firstLine="600" w:firstLineChars="200"/>
        <w:rPr>
          <w:shd w:val="clear" w:color="auto" w:fill="FFFFFF" w:themeFill="background1"/>
        </w:rPr>
      </w:pPr>
      <w:r>
        <w:rPr>
          <w:rFonts w:hint="eastAsia"/>
          <w:shd w:val="clear" w:color="auto" w:fill="FFFFFF" w:themeFill="background1"/>
          <w:lang w:eastAsia="zh-CN"/>
        </w:rPr>
        <w:t>区经信委</w:t>
      </w:r>
      <w:r>
        <w:rPr>
          <w:rFonts w:hint="eastAsia"/>
          <w:shd w:val="clear" w:color="auto" w:fill="FFFFFF" w:themeFill="background1"/>
        </w:rPr>
        <w:t>按照文件规定及时实施防疫物资采购项目，按照规定的流程实施采购计划，按照“急事急办、效率优先”的原则，优化采购申请及审批流程，保障物资采购的及时性。区经信委按照防疫物资采购申请及批复文件，集中在2020年1-5月多批次采购防疫物资，保障了防疫物资的供应，项目实施内容完成及时率100%。</w:t>
      </w:r>
    </w:p>
    <w:p>
      <w:pPr>
        <w:ind w:firstLine="600" w:firstLineChars="200"/>
        <w:rPr>
          <w:rFonts w:cs="仿宋"/>
          <w:szCs w:val="30"/>
          <w:shd w:val="clear" w:color="auto" w:fill="FFFFFF" w:themeFill="background1"/>
        </w:rPr>
      </w:pPr>
      <w:r>
        <w:rPr>
          <w:rFonts w:hint="eastAsia" w:cs="仿宋"/>
          <w:szCs w:val="30"/>
          <w:shd w:val="clear" w:color="auto" w:fill="FFFFFF" w:themeFill="background1"/>
        </w:rPr>
        <w:t>综上所述，本项目实际及时率为100%，评价认为该项目在规定时间内完成情况较好。</w:t>
      </w:r>
      <w:r>
        <w:rPr>
          <w:rFonts w:hint="eastAsia" w:cs="仿宋"/>
          <w:kern w:val="2"/>
          <w:szCs w:val="30"/>
        </w:rPr>
        <w:t>本项指标分值7.00分，得分7.00分</w:t>
      </w:r>
      <w:r>
        <w:rPr>
          <w:rFonts w:hint="eastAsia" w:cs="仿宋"/>
          <w:szCs w:val="30"/>
          <w:shd w:val="clear" w:color="auto" w:fill="FFFFFF" w:themeFill="background1"/>
        </w:rPr>
        <w:t>。</w:t>
      </w:r>
    </w:p>
    <w:p>
      <w:pPr>
        <w:spacing w:line="600" w:lineRule="exact"/>
        <w:ind w:firstLine="600" w:firstLineChars="200"/>
        <w:rPr>
          <w:shd w:val="clear" w:color="auto" w:fill="FFFFFF" w:themeFill="background1"/>
        </w:rPr>
      </w:pPr>
      <w:r>
        <w:rPr>
          <w:rFonts w:hint="eastAsia"/>
          <w:shd w:val="clear" w:color="auto" w:fill="FFFFFF" w:themeFill="background1"/>
        </w:rPr>
        <w:t>4.产出成本</w:t>
      </w:r>
      <w:bookmarkEnd w:id="80"/>
    </w:p>
    <w:p>
      <w:pPr>
        <w:spacing w:line="600" w:lineRule="exact"/>
        <w:ind w:firstLine="600" w:firstLineChars="200"/>
        <w:rPr>
          <w:rFonts w:cs="仿宋"/>
          <w:szCs w:val="30"/>
          <w:shd w:val="clear" w:color="auto" w:fill="FFFFFF" w:themeFill="background1"/>
        </w:rPr>
      </w:pPr>
      <w:r>
        <w:rPr>
          <w:rFonts w:hint="eastAsia" w:cs="仿宋"/>
          <w:szCs w:val="30"/>
          <w:shd w:val="clear" w:color="auto" w:fill="FFFFFF" w:themeFill="background1"/>
        </w:rPr>
        <w:t>（1）成本节约率</w:t>
      </w:r>
    </w:p>
    <w:p>
      <w:pPr>
        <w:ind w:firstLine="600" w:firstLineChars="200"/>
      </w:pPr>
      <w:r>
        <w:rPr>
          <w:rFonts w:hint="eastAsia"/>
          <w:shd w:val="clear" w:color="auto" w:fill="FFFFFF" w:themeFill="background1"/>
        </w:rPr>
        <w:t>项目的实际成本与工作内容的匹配程度较高，符合财政资金使用范围；</w:t>
      </w:r>
      <w:r>
        <w:rPr>
          <w:rFonts w:hint="eastAsia"/>
          <w:szCs w:val="30"/>
        </w:rPr>
        <w:t>防疫物资采购项目</w:t>
      </w:r>
      <w:r>
        <w:rPr>
          <w:rFonts w:hint="eastAsia"/>
          <w:shd w:val="clear" w:color="auto" w:fill="FFFFFF" w:themeFill="background1"/>
        </w:rPr>
        <w:t>2020年下达抗疫国债资金预算为</w:t>
      </w:r>
      <w:r>
        <w:rPr>
          <w:rFonts w:hint="eastAsia"/>
          <w:szCs w:val="30"/>
          <w:shd w:val="clear" w:color="auto" w:fill="FFFFFF"/>
        </w:rPr>
        <w:t>592.60万元</w:t>
      </w:r>
      <w:r>
        <w:rPr>
          <w:rFonts w:hint="eastAsia"/>
          <w:shd w:val="clear" w:color="auto" w:fill="FFFFFF" w:themeFill="background1"/>
        </w:rPr>
        <w:t>，</w:t>
      </w:r>
      <w:r>
        <w:rPr>
          <w:rFonts w:hint="eastAsia"/>
          <w:shd w:val="clear" w:color="auto" w:fill="FFFFFF" w:themeFill="background1"/>
          <w:lang w:eastAsia="zh-CN"/>
        </w:rPr>
        <w:t>区经信委</w:t>
      </w:r>
      <w:r>
        <w:rPr>
          <w:rFonts w:hint="eastAsia"/>
          <w:shd w:val="clear" w:color="auto" w:fill="FFFFFF" w:themeFill="background1"/>
        </w:rPr>
        <w:t>1-5月购买防疫物资实际支出</w:t>
      </w:r>
      <w:r>
        <w:rPr>
          <w:rFonts w:hint="eastAsia"/>
          <w:szCs w:val="30"/>
          <w:shd w:val="clear" w:color="auto" w:fill="FFFFFF"/>
        </w:rPr>
        <w:t>592.60</w:t>
      </w:r>
      <w:r>
        <w:rPr>
          <w:rFonts w:hint="eastAsia"/>
          <w:shd w:val="clear" w:color="auto" w:fill="FFFFFF" w:themeFill="background1"/>
        </w:rPr>
        <w:t>万元，成本节约率=</w:t>
      </w:r>
      <w:r>
        <w:rPr>
          <w:rFonts w:hint="eastAsia" w:cs="宋体"/>
          <w:color w:val="000000"/>
          <w:kern w:val="2"/>
          <w:szCs w:val="30"/>
        </w:rPr>
        <w:t>0</w:t>
      </w:r>
      <w:r>
        <w:rPr>
          <w:rFonts w:hint="eastAsia"/>
          <w:shd w:val="clear" w:color="auto" w:fill="FFFFFF" w:themeFill="background1"/>
        </w:rPr>
        <w:t>/</w:t>
      </w:r>
      <w:r>
        <w:rPr>
          <w:rFonts w:hint="eastAsia"/>
          <w:szCs w:val="30"/>
          <w:shd w:val="clear" w:color="auto" w:fill="FFFFFF"/>
        </w:rPr>
        <w:t>592.60</w:t>
      </w:r>
      <w:r>
        <w:rPr>
          <w:rFonts w:hint="eastAsia"/>
          <w:shd w:val="clear" w:color="auto" w:fill="FFFFFF" w:themeFill="background1"/>
        </w:rPr>
        <w:t>*100%=</w:t>
      </w:r>
      <w:r>
        <w:rPr>
          <w:rFonts w:hint="eastAsia"/>
          <w:shd w:val="clear" w:color="auto" w:fill="FFFFFF" w:themeFill="background1"/>
          <w:lang w:val="en-US" w:eastAsia="zh-CN"/>
        </w:rPr>
        <w:t>0</w:t>
      </w:r>
      <w:r>
        <w:rPr>
          <w:rFonts w:hint="eastAsia"/>
          <w:shd w:val="clear" w:color="auto" w:fill="FFFFFF" w:themeFill="background1"/>
        </w:rPr>
        <w:t>%</w:t>
      </w:r>
      <w:r>
        <w:rPr>
          <w:rFonts w:hint="eastAsia"/>
        </w:rPr>
        <w:t>。</w:t>
      </w:r>
    </w:p>
    <w:p>
      <w:pPr>
        <w:ind w:firstLine="600" w:firstLineChars="200"/>
      </w:pPr>
      <w:r>
        <w:rPr>
          <w:rFonts w:hint="eastAsia" w:cs="仿宋"/>
          <w:szCs w:val="30"/>
          <w:shd w:val="clear" w:color="auto" w:fill="FFFFFF" w:themeFill="background1"/>
        </w:rPr>
        <w:t>综上所述，本项目</w:t>
      </w:r>
      <w:r>
        <w:rPr>
          <w:rFonts w:hint="eastAsia"/>
          <w:shd w:val="clear" w:color="auto" w:fill="FFFFFF" w:themeFill="background1"/>
        </w:rPr>
        <w:t>成本节约率</w:t>
      </w:r>
      <w:r>
        <w:rPr>
          <w:rFonts w:hint="eastAsia" w:cs="仿宋"/>
          <w:szCs w:val="30"/>
          <w:shd w:val="clear" w:color="auto" w:fill="FFFFFF" w:themeFill="background1"/>
        </w:rPr>
        <w:t>为</w:t>
      </w:r>
      <w:r>
        <w:rPr>
          <w:rFonts w:hint="eastAsia"/>
          <w:shd w:val="clear" w:color="auto" w:fill="FFFFFF" w:themeFill="background1"/>
          <w:lang w:val="en-US" w:eastAsia="zh-CN"/>
        </w:rPr>
        <w:t>0</w:t>
      </w:r>
      <w:r>
        <w:rPr>
          <w:rFonts w:hint="eastAsia"/>
          <w:shd w:val="clear" w:color="auto" w:fill="FFFFFF" w:themeFill="background1"/>
        </w:rPr>
        <w:t>%</w:t>
      </w:r>
      <w:r>
        <w:rPr>
          <w:rFonts w:hint="eastAsia" w:cs="仿宋"/>
          <w:szCs w:val="30"/>
          <w:shd w:val="clear" w:color="auto" w:fill="FFFFFF" w:themeFill="background1"/>
        </w:rPr>
        <w:t>，评价认为该项目项目产出成本控制严格，内部控制流程有效。</w:t>
      </w:r>
      <w:r>
        <w:rPr>
          <w:rFonts w:hint="eastAsia" w:cs="仿宋"/>
          <w:kern w:val="2"/>
          <w:szCs w:val="30"/>
        </w:rPr>
        <w:t>本项指标分值7.00分，得分7.00分</w:t>
      </w:r>
      <w:r>
        <w:rPr>
          <w:rFonts w:hint="eastAsia" w:cs="仿宋"/>
          <w:szCs w:val="30"/>
          <w:shd w:val="clear" w:color="auto" w:fill="FFFFFF" w:themeFill="background1"/>
        </w:rPr>
        <w:t>。</w:t>
      </w:r>
    </w:p>
    <w:p>
      <w:pPr>
        <w:spacing w:line="600" w:lineRule="exact"/>
        <w:ind w:firstLine="600" w:firstLineChars="200"/>
        <w:outlineLvl w:val="1"/>
        <w:rPr>
          <w:rFonts w:ascii="楷体" w:hAnsi="楷体" w:eastAsia="楷体" w:cs="楷体"/>
          <w:szCs w:val="30"/>
          <w:shd w:val="clear" w:color="auto" w:fill="FFFFFF" w:themeFill="background1"/>
        </w:rPr>
      </w:pPr>
      <w:bookmarkStart w:id="82" w:name="_Toc26537"/>
      <w:bookmarkStart w:id="83" w:name="_Toc22236"/>
      <w:r>
        <w:rPr>
          <w:rFonts w:hint="eastAsia" w:ascii="楷体" w:hAnsi="楷体" w:eastAsia="楷体" w:cs="楷体"/>
          <w:szCs w:val="30"/>
          <w:shd w:val="clear" w:color="auto" w:fill="FFFFFF" w:themeFill="background1"/>
        </w:rPr>
        <w:t>（四）项目效益</w:t>
      </w:r>
      <w:bookmarkEnd w:id="82"/>
      <w:bookmarkEnd w:id="83"/>
    </w:p>
    <w:p>
      <w:pPr>
        <w:spacing w:line="600" w:lineRule="exact"/>
        <w:ind w:firstLine="600" w:firstLineChars="200"/>
        <w:rPr>
          <w:shd w:val="clear" w:color="auto" w:fill="FFFFFF" w:themeFill="background1"/>
        </w:rPr>
      </w:pPr>
      <w:bookmarkStart w:id="84" w:name="_Toc14852"/>
      <w:r>
        <w:rPr>
          <w:rFonts w:hint="eastAsia"/>
          <w:shd w:val="clear" w:color="auto" w:fill="FFFFFF" w:themeFill="background1"/>
        </w:rPr>
        <w:t>1.社会效益</w:t>
      </w:r>
      <w:bookmarkEnd w:id="84"/>
    </w:p>
    <w:p>
      <w:pPr>
        <w:spacing w:line="600" w:lineRule="exact"/>
        <w:ind w:firstLine="600" w:firstLineChars="200"/>
        <w:rPr>
          <w:spacing w:val="4"/>
          <w:kern w:val="2"/>
          <w:szCs w:val="30"/>
          <w:shd w:val="clear" w:color="auto" w:fill="FFFFFF" w:themeFill="background1"/>
        </w:rPr>
      </w:pPr>
      <w:r>
        <w:rPr>
          <w:rFonts w:hint="eastAsia"/>
          <w:szCs w:val="30"/>
        </w:rPr>
        <w:t>防疫物资采购项目的实施是贯彻习近平总书记“把人民群众生命和身体健康放在第一位”的指示精神和中央、市委决策部署、认真落实区委、区政府工作安排，由区经信委牵头负责全区防疫应急物资保障工作，积极指导复工复产工业企业科学有序开展各项防控工作。区经信委成立了新冠肺炎疫情防控工作指挥部，由主要领导任指挥长，下设物资采购组、库存组、发放组和综合协调组4个专项工作组，统筹安排、调拨工作组人员，做好防疫物资联系、采购、库存及综合协调等各方面的具体工作，确保物资保障各个环节运行通畅</w:t>
      </w:r>
      <w:r>
        <w:rPr>
          <w:rFonts w:hint="eastAsia"/>
          <w:spacing w:val="4"/>
          <w:kern w:val="2"/>
          <w:szCs w:val="30"/>
          <w:shd w:val="clear" w:color="auto" w:fill="FFFFFF" w:themeFill="background1"/>
        </w:rPr>
        <w:t>。</w:t>
      </w:r>
    </w:p>
    <w:p>
      <w:pPr>
        <w:spacing w:line="600" w:lineRule="exact"/>
        <w:ind w:firstLine="616" w:firstLineChars="200"/>
        <w:rPr>
          <w:spacing w:val="4"/>
          <w:kern w:val="2"/>
          <w:szCs w:val="30"/>
          <w:shd w:val="clear" w:color="auto" w:fill="FFFFFF" w:themeFill="background1"/>
        </w:rPr>
      </w:pPr>
      <w:r>
        <w:rPr>
          <w:rFonts w:hint="eastAsia"/>
          <w:spacing w:val="4"/>
          <w:kern w:val="2"/>
          <w:szCs w:val="30"/>
          <w:shd w:val="clear" w:color="auto" w:fill="FFFFFF" w:themeFill="background1"/>
        </w:rPr>
        <w:t>区经信委通过对接市级部门寻求支持、自身多渠道采购和发动区内优秀企业家力量等多种方式，累计调拨入库口罩51万余个，消毒用品约5吨，红外线手持测温仪约1100个，防护服8000余套，手套约13000双。累计向防疫指挥部各专项工作组，要素保障及窗口单位，企业复工复产指导组以及公安、交通和乡镇一线等发放口罩37万余个，消毒用品约4吨，手持测温仪800余个，防护服2000余套，手套约6000双，其他防疫物资若干，保障了疫情期间防控人员的安全，为全区疫情防控提供了坚强的物资保障，使防控工作取得积极成效。</w:t>
      </w:r>
    </w:p>
    <w:p>
      <w:pPr>
        <w:spacing w:line="600" w:lineRule="exact"/>
        <w:ind w:firstLine="616" w:firstLineChars="200"/>
        <w:rPr>
          <w:spacing w:val="4"/>
          <w:kern w:val="2"/>
          <w:szCs w:val="30"/>
          <w:shd w:val="clear" w:color="auto" w:fill="FFFFFF" w:themeFill="background1"/>
        </w:rPr>
      </w:pPr>
      <w:r>
        <w:rPr>
          <w:rFonts w:hint="eastAsia"/>
          <w:spacing w:val="4"/>
          <w:kern w:val="2"/>
          <w:szCs w:val="30"/>
          <w:shd w:val="clear" w:color="auto" w:fill="FFFFFF" w:themeFill="background1"/>
        </w:rPr>
        <w:t>梁平日报及梁平网等媒体资源，积极报道疫情防控工作领导小组会议安排及防控部署情况。认真落实市委、市政府要求，深入推进常态化疫情防控、持续巩固疫情防控成果，继续抓紧抓实抓细疫情防控各项工作，坚决防止疫情反弹。加强宣传发动，引导群众认真落实个人防护要求，提高群众个人防护总识和能力、阻断疫情传播途径，保障人民群众的身体健康和生命安全。</w:t>
      </w:r>
    </w:p>
    <w:p>
      <w:pPr>
        <w:ind w:firstLine="616" w:firstLineChars="200"/>
      </w:pPr>
      <w:r>
        <w:rPr>
          <w:rFonts w:hint="eastAsia"/>
          <w:spacing w:val="4"/>
          <w:kern w:val="2"/>
          <w:szCs w:val="30"/>
          <w:shd w:val="clear" w:color="auto" w:fill="FFFFFF" w:themeFill="background1"/>
        </w:rPr>
        <w:t>经综合分析，为梁平区疫情防控提供了坚强的物资保障，使防控工作取得积极成效，加强社会公众对防控疫情期间各政府部门防疫工作情况的了解，保障人民群众的身体健康和生命安全等方面的社会效益较显著。</w:t>
      </w:r>
      <w:r>
        <w:rPr>
          <w:rFonts w:hint="eastAsia" w:cs="仿宋"/>
          <w:kern w:val="2"/>
          <w:szCs w:val="30"/>
        </w:rPr>
        <w:t>本项指标分值16.00分，得分16.00分</w:t>
      </w:r>
      <w:r>
        <w:rPr>
          <w:rFonts w:hint="eastAsia" w:cs="仿宋"/>
          <w:szCs w:val="30"/>
          <w:shd w:val="clear" w:color="auto" w:fill="FFFFFF" w:themeFill="background1"/>
        </w:rPr>
        <w:t>。</w:t>
      </w:r>
    </w:p>
    <w:p>
      <w:pPr>
        <w:spacing w:line="600" w:lineRule="exact"/>
        <w:ind w:firstLine="616" w:firstLineChars="200"/>
        <w:rPr>
          <w:spacing w:val="4"/>
          <w:kern w:val="2"/>
          <w:szCs w:val="30"/>
          <w:shd w:val="clear" w:color="auto" w:fill="FFFFFF" w:themeFill="background1"/>
        </w:rPr>
      </w:pPr>
      <w:bookmarkStart w:id="85" w:name="_Toc9594"/>
      <w:r>
        <w:rPr>
          <w:rFonts w:hint="eastAsia"/>
          <w:spacing w:val="4"/>
          <w:kern w:val="2"/>
          <w:szCs w:val="30"/>
          <w:shd w:val="clear" w:color="auto" w:fill="FFFFFF" w:themeFill="background1"/>
        </w:rPr>
        <w:t>2.可持续性影响</w:t>
      </w:r>
      <w:bookmarkEnd w:id="85"/>
    </w:p>
    <w:p>
      <w:pPr>
        <w:spacing w:line="600" w:lineRule="exact"/>
        <w:ind w:firstLine="616" w:firstLineChars="200"/>
        <w:rPr>
          <w:spacing w:val="4"/>
          <w:kern w:val="2"/>
          <w:szCs w:val="30"/>
          <w:shd w:val="clear" w:color="auto" w:fill="FFFFFF" w:themeFill="background1"/>
        </w:rPr>
      </w:pPr>
      <w:r>
        <w:rPr>
          <w:rFonts w:hint="eastAsia"/>
          <w:spacing w:val="4"/>
          <w:kern w:val="2"/>
          <w:szCs w:val="30"/>
          <w:shd w:val="clear" w:color="auto" w:fill="FFFFFF" w:themeFill="background1"/>
        </w:rPr>
        <w:t>本项目实施后，严格按照《重庆市梁平区新型冠状病毒感染的肺炎疫情防控工作领导小组办公室关于成立梁平区新型冠状病毒感染的肺炎疫情联防联控工作指挥部的通知》（梁肺炎组办发〔2020〕1号）负责除医疗系统外的防疫物资保障，防疫物资采购及发放情况执行较好，物资储备保障较好。且为确保疫情结束之后防疫物资充足，按照区疫情防控指挥部的指示，预留了一批口罩等防疫物资作为应急储备，以备突发情况应急需要。</w:t>
      </w:r>
    </w:p>
    <w:p>
      <w:pPr>
        <w:spacing w:line="600" w:lineRule="exact"/>
        <w:ind w:firstLine="616" w:firstLineChars="200"/>
        <w:rPr>
          <w:spacing w:val="4"/>
          <w:kern w:val="2"/>
          <w:szCs w:val="30"/>
          <w:shd w:val="clear" w:color="auto" w:fill="FFFFFF" w:themeFill="background1"/>
        </w:rPr>
      </w:pPr>
      <w:r>
        <w:rPr>
          <w:rFonts w:hint="eastAsia"/>
          <w:spacing w:val="4"/>
          <w:kern w:val="2"/>
          <w:szCs w:val="30"/>
          <w:shd w:val="clear" w:color="auto" w:fill="FFFFFF" w:themeFill="background1"/>
        </w:rPr>
        <w:t>通过区经信委采购的物资储备，覆盖防疫指挥部各专项工作组，要素保障及窗口单位，企业复工复产指导组以及公安、交通和全区33个镇街一线，应对疫情防控各项工作，把人民生命财产损失降到最低。因此，该项目社会效益保障较好，具有效果可持续性的特点。</w:t>
      </w:r>
    </w:p>
    <w:p>
      <w:pPr>
        <w:spacing w:line="600" w:lineRule="exact"/>
        <w:ind w:firstLine="616" w:firstLineChars="200"/>
        <w:rPr>
          <w:spacing w:val="4"/>
          <w:kern w:val="2"/>
          <w:szCs w:val="30"/>
          <w:shd w:val="clear" w:color="auto" w:fill="FFFFFF" w:themeFill="background1"/>
        </w:rPr>
      </w:pPr>
      <w:r>
        <w:rPr>
          <w:rFonts w:hint="eastAsia"/>
          <w:spacing w:val="4"/>
          <w:kern w:val="2"/>
          <w:szCs w:val="30"/>
          <w:shd w:val="clear" w:color="auto" w:fill="FFFFFF" w:themeFill="background1"/>
        </w:rPr>
        <w:t>防疫物资采购项目为突发公共卫生事件应急处理项目，未来工作任务将根据疫情防控情况在国家政策、资金的支持下开展。且市级和区级管理部门安排并执行抗疫特别国债资金，制定了《重庆市梁平区新型冠状病毒感染的肺炎疫情应急物资管理制度》、《市对区县抗疫特别国债资金管理办法》等管理制度和财务管理制度保障项目有效实施。</w:t>
      </w:r>
    </w:p>
    <w:p>
      <w:pPr>
        <w:spacing w:line="600" w:lineRule="exact"/>
        <w:ind w:firstLine="616" w:firstLineChars="200"/>
        <w:rPr>
          <w:spacing w:val="4"/>
          <w:kern w:val="2"/>
          <w:szCs w:val="30"/>
          <w:shd w:val="clear" w:color="auto" w:fill="FFFFFF" w:themeFill="background1"/>
        </w:rPr>
      </w:pPr>
      <w:r>
        <w:rPr>
          <w:rFonts w:hint="eastAsia"/>
          <w:spacing w:val="4"/>
          <w:kern w:val="2"/>
          <w:szCs w:val="30"/>
          <w:shd w:val="clear" w:color="auto" w:fill="FFFFFF" w:themeFill="background1"/>
        </w:rPr>
        <w:t>经综合分析，评价认为该项目的作用和效果可持续。</w:t>
      </w:r>
      <w:r>
        <w:rPr>
          <w:rFonts w:hint="eastAsia" w:cs="仿宋"/>
          <w:kern w:val="2"/>
          <w:szCs w:val="30"/>
        </w:rPr>
        <w:t>本项指标分值5.00分，得分5.00分</w:t>
      </w:r>
      <w:r>
        <w:rPr>
          <w:rFonts w:hint="eastAsia" w:cs="仿宋"/>
          <w:szCs w:val="30"/>
          <w:shd w:val="clear" w:color="auto" w:fill="FFFFFF" w:themeFill="background1"/>
        </w:rPr>
        <w:t>。</w:t>
      </w:r>
    </w:p>
    <w:p>
      <w:pPr>
        <w:spacing w:line="600" w:lineRule="exact"/>
        <w:ind w:firstLine="600" w:firstLineChars="200"/>
        <w:rPr>
          <w:rFonts w:cs="仿宋"/>
          <w:szCs w:val="30"/>
          <w:shd w:val="clear" w:color="auto" w:fill="FFFFFF" w:themeFill="background1"/>
        </w:rPr>
      </w:pPr>
      <w:bookmarkStart w:id="86" w:name="_Toc19212"/>
      <w:r>
        <w:rPr>
          <w:rFonts w:hint="eastAsia" w:cs="仿宋"/>
          <w:szCs w:val="30"/>
          <w:shd w:val="clear" w:color="auto" w:fill="FFFFFF" w:themeFill="background1"/>
        </w:rPr>
        <w:t>3.社会公众满意度</w:t>
      </w:r>
      <w:bookmarkEnd w:id="86"/>
    </w:p>
    <w:p>
      <w:pPr>
        <w:widowControl/>
        <w:spacing w:line="600" w:lineRule="exact"/>
        <w:ind w:firstLine="600" w:firstLineChars="200"/>
        <w:rPr>
          <w:szCs w:val="30"/>
          <w:highlight w:val="yellow"/>
          <w:shd w:val="clear" w:color="auto" w:fill="FFFFFF"/>
        </w:rPr>
      </w:pPr>
      <w:r>
        <w:rPr>
          <w:rFonts w:hint="eastAsia"/>
          <w:szCs w:val="30"/>
          <w:shd w:val="clear" w:color="auto" w:fill="FFFFFF"/>
        </w:rPr>
        <w:t>本次评价，评价小组重点向梁平区经信委防疫物资采购管理人员、各镇街政府疫情期间防疫管理部门负责人、防疫物资使用人等共发放问卷56份，回收有效问卷56份。经统计分析，群众对2020年安排防疫物资采购项目满意度如下：</w:t>
      </w:r>
    </w:p>
    <w:p>
      <w:pPr>
        <w:widowControl/>
        <w:spacing w:line="600" w:lineRule="exact"/>
        <w:ind w:firstLine="600" w:firstLineChars="200"/>
        <w:rPr>
          <w:rFonts w:cs="仿宋"/>
          <w:szCs w:val="30"/>
          <w:shd w:val="clear" w:color="auto" w:fill="FFFFFF"/>
        </w:rPr>
      </w:pPr>
      <w:r>
        <w:rPr>
          <w:rFonts w:hint="eastAsia" w:cs="仿宋"/>
          <w:szCs w:val="30"/>
          <w:shd w:val="clear" w:color="auto" w:fill="FFFFFF"/>
        </w:rPr>
        <w:t>（1）对防疫物资采购效率的满意度</w:t>
      </w:r>
    </w:p>
    <w:tbl>
      <w:tblPr>
        <w:tblStyle w:val="11"/>
        <w:tblW w:w="8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0"/>
        <w:gridCol w:w="1740"/>
        <w:gridCol w:w="1580"/>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70" w:type="dxa"/>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调查内容</w:t>
            </w:r>
          </w:p>
        </w:tc>
        <w:tc>
          <w:tcPr>
            <w:tcW w:w="1740" w:type="dxa"/>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满意</w:t>
            </w:r>
          </w:p>
        </w:tc>
        <w:tc>
          <w:tcPr>
            <w:tcW w:w="1580" w:type="dxa"/>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基本满意</w:t>
            </w:r>
          </w:p>
        </w:tc>
        <w:tc>
          <w:tcPr>
            <w:tcW w:w="1479" w:type="dxa"/>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不满意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70" w:type="dxa"/>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对防疫物资采购效率的满意度</w:t>
            </w:r>
          </w:p>
        </w:tc>
        <w:tc>
          <w:tcPr>
            <w:tcW w:w="1740" w:type="dxa"/>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　100%</w:t>
            </w:r>
          </w:p>
        </w:tc>
        <w:tc>
          <w:tcPr>
            <w:tcW w:w="1580" w:type="dxa"/>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　</w:t>
            </w:r>
          </w:p>
        </w:tc>
        <w:tc>
          <w:tcPr>
            <w:tcW w:w="1479" w:type="dxa"/>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　</w:t>
            </w:r>
          </w:p>
        </w:tc>
      </w:tr>
    </w:tbl>
    <w:p>
      <w:pPr>
        <w:spacing w:line="600" w:lineRule="exact"/>
        <w:ind w:firstLine="616" w:firstLineChars="200"/>
        <w:rPr>
          <w:rFonts w:cs="宋体"/>
          <w:bCs/>
          <w:spacing w:val="4"/>
          <w:szCs w:val="30"/>
          <w:shd w:val="clear" w:color="auto" w:fill="FFFFFF" w:themeFill="background1"/>
        </w:rPr>
      </w:pPr>
      <w:r>
        <w:rPr>
          <w:rFonts w:hint="eastAsia" w:cs="宋体"/>
          <w:bCs/>
          <w:spacing w:val="4"/>
          <w:szCs w:val="30"/>
          <w:shd w:val="clear" w:color="auto" w:fill="FFFFFF" w:themeFill="background1"/>
        </w:rPr>
        <w:t>调查结果表明，调查对象</w:t>
      </w:r>
      <w:r>
        <w:rPr>
          <w:rFonts w:hint="eastAsia" w:cs="仿宋"/>
          <w:szCs w:val="30"/>
          <w:shd w:val="clear" w:color="auto" w:fill="FFFFFF"/>
        </w:rPr>
        <w:t>对防疫物资采购效率的满意度</w:t>
      </w:r>
      <w:r>
        <w:rPr>
          <w:rFonts w:hint="eastAsia" w:cs="宋体"/>
          <w:bCs/>
          <w:spacing w:val="4"/>
          <w:szCs w:val="30"/>
          <w:shd w:val="clear" w:color="auto" w:fill="FFFFFF" w:themeFill="background1"/>
        </w:rPr>
        <w:t>达到100%，不存在不满意的情况。</w:t>
      </w:r>
    </w:p>
    <w:p>
      <w:pPr>
        <w:spacing w:line="600" w:lineRule="exact"/>
        <w:ind w:firstLine="616" w:firstLineChars="200"/>
        <w:rPr>
          <w:rFonts w:cs="宋体"/>
          <w:bCs/>
          <w:spacing w:val="4"/>
          <w:szCs w:val="30"/>
          <w:shd w:val="clear" w:color="auto" w:fill="FFFFFF" w:themeFill="background1"/>
        </w:rPr>
      </w:pPr>
      <w:r>
        <w:rPr>
          <w:rFonts w:hint="eastAsia" w:cs="宋体"/>
          <w:bCs/>
          <w:spacing w:val="4"/>
          <w:szCs w:val="30"/>
          <w:shd w:val="clear" w:color="auto" w:fill="FFFFFF" w:themeFill="background1"/>
        </w:rPr>
        <w:t>（2）对防疫物资质量满意度</w:t>
      </w:r>
    </w:p>
    <w:tbl>
      <w:tblPr>
        <w:tblStyle w:val="11"/>
        <w:tblW w:w="8174" w:type="dxa"/>
        <w:jc w:val="center"/>
        <w:tblLayout w:type="fixed"/>
        <w:tblCellMar>
          <w:top w:w="0" w:type="dxa"/>
          <w:left w:w="108" w:type="dxa"/>
          <w:bottom w:w="0" w:type="dxa"/>
          <w:right w:w="108" w:type="dxa"/>
        </w:tblCellMar>
      </w:tblPr>
      <w:tblGrid>
        <w:gridCol w:w="3372"/>
        <w:gridCol w:w="1740"/>
        <w:gridCol w:w="1580"/>
        <w:gridCol w:w="1482"/>
      </w:tblGrid>
      <w:tr>
        <w:tblPrEx>
          <w:tblCellMar>
            <w:top w:w="0" w:type="dxa"/>
            <w:left w:w="108" w:type="dxa"/>
            <w:bottom w:w="0" w:type="dxa"/>
            <w:right w:w="108" w:type="dxa"/>
          </w:tblCellMar>
        </w:tblPrEx>
        <w:trPr>
          <w:trHeight w:val="510" w:hRule="atLeast"/>
          <w:jc w:val="center"/>
        </w:trPr>
        <w:tc>
          <w:tcPr>
            <w:tcW w:w="33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调查内容</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满意</w:t>
            </w:r>
          </w:p>
        </w:tc>
        <w:tc>
          <w:tcPr>
            <w:tcW w:w="1580" w:type="dxa"/>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基本满意</w:t>
            </w:r>
          </w:p>
        </w:tc>
        <w:tc>
          <w:tcPr>
            <w:tcW w:w="1482" w:type="dxa"/>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不满意</w:t>
            </w:r>
          </w:p>
        </w:tc>
      </w:tr>
      <w:tr>
        <w:tblPrEx>
          <w:tblCellMar>
            <w:top w:w="0" w:type="dxa"/>
            <w:left w:w="108" w:type="dxa"/>
            <w:bottom w:w="0" w:type="dxa"/>
            <w:right w:w="108" w:type="dxa"/>
          </w:tblCellMar>
        </w:tblPrEx>
        <w:trPr>
          <w:trHeight w:val="510" w:hRule="atLeast"/>
          <w:jc w:val="center"/>
        </w:trPr>
        <w:tc>
          <w:tcPr>
            <w:tcW w:w="3372"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对防疫物资质量满意度</w:t>
            </w:r>
          </w:p>
        </w:tc>
        <w:tc>
          <w:tcPr>
            <w:tcW w:w="1740"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　100%</w:t>
            </w:r>
          </w:p>
        </w:tc>
        <w:tc>
          <w:tcPr>
            <w:tcW w:w="1580"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w:t>
            </w:r>
          </w:p>
        </w:tc>
        <w:tc>
          <w:tcPr>
            <w:tcW w:w="1482"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　</w:t>
            </w:r>
          </w:p>
        </w:tc>
      </w:tr>
    </w:tbl>
    <w:p>
      <w:pPr>
        <w:spacing w:line="600" w:lineRule="exact"/>
        <w:ind w:firstLine="616" w:firstLineChars="200"/>
      </w:pPr>
      <w:r>
        <w:rPr>
          <w:rFonts w:hint="eastAsia" w:cs="宋体"/>
          <w:bCs/>
          <w:spacing w:val="4"/>
          <w:szCs w:val="30"/>
          <w:shd w:val="clear" w:color="auto" w:fill="FFFFFF" w:themeFill="background1"/>
        </w:rPr>
        <w:t>通过调查走访，调查对象对防疫物资质量满意度达到100%，不存在不满意的情况</w:t>
      </w:r>
      <w:r>
        <w:rPr>
          <w:rFonts w:hint="eastAsia"/>
        </w:rPr>
        <w:t>。</w:t>
      </w:r>
    </w:p>
    <w:p>
      <w:pPr>
        <w:spacing w:line="600" w:lineRule="exact"/>
        <w:ind w:firstLine="616" w:firstLineChars="200"/>
        <w:rPr>
          <w:rFonts w:cs="宋体"/>
          <w:bCs/>
          <w:spacing w:val="4"/>
          <w:szCs w:val="30"/>
          <w:shd w:val="clear" w:color="auto" w:fill="FFFFFF" w:themeFill="background1"/>
        </w:rPr>
      </w:pPr>
      <w:r>
        <w:rPr>
          <w:rFonts w:hint="eastAsia" w:cs="宋体"/>
          <w:bCs/>
          <w:spacing w:val="4"/>
          <w:szCs w:val="30"/>
          <w:shd w:val="clear" w:color="auto" w:fill="FFFFFF" w:themeFill="background1"/>
        </w:rPr>
        <w:t>（2）对提升防疫效果整体满意度</w:t>
      </w:r>
    </w:p>
    <w:tbl>
      <w:tblPr>
        <w:tblStyle w:val="11"/>
        <w:tblW w:w="8174" w:type="dxa"/>
        <w:jc w:val="center"/>
        <w:tblLayout w:type="fixed"/>
        <w:tblCellMar>
          <w:top w:w="0" w:type="dxa"/>
          <w:left w:w="108" w:type="dxa"/>
          <w:bottom w:w="0" w:type="dxa"/>
          <w:right w:w="108" w:type="dxa"/>
        </w:tblCellMar>
      </w:tblPr>
      <w:tblGrid>
        <w:gridCol w:w="3382"/>
        <w:gridCol w:w="1730"/>
        <w:gridCol w:w="1580"/>
        <w:gridCol w:w="1482"/>
      </w:tblGrid>
      <w:tr>
        <w:tblPrEx>
          <w:tblCellMar>
            <w:top w:w="0" w:type="dxa"/>
            <w:left w:w="108" w:type="dxa"/>
            <w:bottom w:w="0" w:type="dxa"/>
            <w:right w:w="108" w:type="dxa"/>
          </w:tblCellMar>
        </w:tblPrEx>
        <w:trPr>
          <w:trHeight w:val="510" w:hRule="atLeast"/>
          <w:jc w:val="center"/>
        </w:trPr>
        <w:tc>
          <w:tcPr>
            <w:tcW w:w="33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调查内容</w:t>
            </w:r>
          </w:p>
        </w:tc>
        <w:tc>
          <w:tcPr>
            <w:tcW w:w="1730" w:type="dxa"/>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满意</w:t>
            </w:r>
          </w:p>
        </w:tc>
        <w:tc>
          <w:tcPr>
            <w:tcW w:w="1580" w:type="dxa"/>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基本满意</w:t>
            </w:r>
          </w:p>
        </w:tc>
        <w:tc>
          <w:tcPr>
            <w:tcW w:w="1482" w:type="dxa"/>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b/>
                <w:bCs/>
                <w:color w:val="000000"/>
                <w:kern w:val="0"/>
                <w:sz w:val="24"/>
                <w:szCs w:val="24"/>
              </w:rPr>
            </w:pPr>
            <w:r>
              <w:rPr>
                <w:rFonts w:hint="eastAsia" w:cs="宋体"/>
                <w:b/>
                <w:bCs/>
                <w:color w:val="000000"/>
                <w:kern w:val="0"/>
                <w:sz w:val="24"/>
                <w:szCs w:val="24"/>
              </w:rPr>
              <w:t>不满意</w:t>
            </w:r>
          </w:p>
        </w:tc>
      </w:tr>
      <w:tr>
        <w:tblPrEx>
          <w:tblCellMar>
            <w:top w:w="0" w:type="dxa"/>
            <w:left w:w="108" w:type="dxa"/>
            <w:bottom w:w="0" w:type="dxa"/>
            <w:right w:w="108" w:type="dxa"/>
          </w:tblCellMar>
        </w:tblPrEx>
        <w:trPr>
          <w:trHeight w:val="510" w:hRule="atLeast"/>
          <w:jc w:val="center"/>
        </w:trPr>
        <w:tc>
          <w:tcPr>
            <w:tcW w:w="3382"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对提升防疫效果整体满意度</w:t>
            </w:r>
          </w:p>
        </w:tc>
        <w:tc>
          <w:tcPr>
            <w:tcW w:w="1730"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　100%</w:t>
            </w:r>
          </w:p>
        </w:tc>
        <w:tc>
          <w:tcPr>
            <w:tcW w:w="1580"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w:t>
            </w:r>
          </w:p>
        </w:tc>
        <w:tc>
          <w:tcPr>
            <w:tcW w:w="1482"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cs="宋体"/>
                <w:color w:val="000000"/>
                <w:kern w:val="0"/>
                <w:sz w:val="24"/>
                <w:szCs w:val="24"/>
              </w:rPr>
            </w:pPr>
            <w:r>
              <w:rPr>
                <w:rFonts w:hint="eastAsia" w:cs="宋体"/>
                <w:color w:val="000000"/>
                <w:kern w:val="0"/>
                <w:sz w:val="24"/>
                <w:szCs w:val="24"/>
              </w:rPr>
              <w:t>-　</w:t>
            </w:r>
          </w:p>
        </w:tc>
      </w:tr>
    </w:tbl>
    <w:p>
      <w:pPr>
        <w:spacing w:line="600" w:lineRule="exact"/>
        <w:ind w:firstLine="616" w:firstLineChars="200"/>
      </w:pPr>
      <w:r>
        <w:rPr>
          <w:rFonts w:hint="eastAsia" w:cs="宋体"/>
          <w:bCs/>
          <w:spacing w:val="4"/>
          <w:szCs w:val="30"/>
          <w:shd w:val="clear" w:color="auto" w:fill="FFFFFF" w:themeFill="background1"/>
        </w:rPr>
        <w:t>通过调查走访，调查对提升防疫效果整体满意度达到100%，不存在不满意的情况</w:t>
      </w:r>
      <w:r>
        <w:rPr>
          <w:rFonts w:hint="eastAsia"/>
        </w:rPr>
        <w:t>。</w:t>
      </w:r>
    </w:p>
    <w:p>
      <w:pPr>
        <w:spacing w:line="600" w:lineRule="exact"/>
        <w:ind w:firstLine="600" w:firstLineChars="200"/>
        <w:rPr>
          <w:rFonts w:cs="宋体"/>
          <w:color w:val="000000"/>
          <w:kern w:val="2"/>
          <w:szCs w:val="30"/>
        </w:rPr>
      </w:pPr>
      <w:r>
        <w:rPr>
          <w:rFonts w:hint="eastAsia" w:cs="宋体"/>
          <w:color w:val="000000"/>
          <w:kern w:val="2"/>
          <w:szCs w:val="30"/>
        </w:rPr>
        <w:t>经综合分析，调查对象</w:t>
      </w:r>
      <w:r>
        <w:rPr>
          <w:rFonts w:hint="eastAsia" w:cs="宋体"/>
          <w:bCs/>
          <w:spacing w:val="4"/>
          <w:szCs w:val="30"/>
          <w:shd w:val="clear" w:color="auto" w:fill="FFFFFF" w:themeFill="background1"/>
        </w:rPr>
        <w:t>对防疫物资采购效率的满意度、防疫物资质量满意度、提升防疫效果整体满意度</w:t>
      </w:r>
      <w:r>
        <w:rPr>
          <w:rFonts w:hint="eastAsia" w:cs="宋体"/>
          <w:color w:val="000000"/>
          <w:kern w:val="2"/>
          <w:szCs w:val="30"/>
        </w:rPr>
        <w:t>均较高，本项指标分值9.00分，得分9.00分。</w:t>
      </w:r>
    </w:p>
    <w:p>
      <w:pPr>
        <w:spacing w:line="600" w:lineRule="exact"/>
        <w:ind w:firstLine="600" w:firstLineChars="200"/>
        <w:outlineLvl w:val="0"/>
        <w:rPr>
          <w:rFonts w:ascii="黑体" w:hAnsi="黑体" w:eastAsia="黑体" w:cs="宋体"/>
          <w:szCs w:val="30"/>
          <w:shd w:val="clear" w:color="auto" w:fill="FFFFFF" w:themeFill="background1"/>
        </w:rPr>
      </w:pPr>
      <w:bookmarkStart w:id="87" w:name="_Toc7592"/>
      <w:bookmarkStart w:id="88" w:name="_Toc25461"/>
      <w:r>
        <w:rPr>
          <w:rFonts w:hint="eastAsia" w:ascii="黑体" w:hAnsi="黑体" w:eastAsia="黑体" w:cs="宋体"/>
          <w:szCs w:val="30"/>
          <w:shd w:val="clear" w:color="auto" w:fill="FFFFFF" w:themeFill="background1"/>
        </w:rPr>
        <w:t>四、绩效评分结论</w:t>
      </w:r>
      <w:bookmarkEnd w:id="87"/>
      <w:bookmarkEnd w:id="88"/>
    </w:p>
    <w:p>
      <w:pPr>
        <w:spacing w:line="600" w:lineRule="exact"/>
        <w:ind w:firstLine="600" w:firstLineChars="200"/>
        <w:outlineLvl w:val="1"/>
        <w:rPr>
          <w:rFonts w:ascii="楷体" w:hAnsi="楷体" w:eastAsia="楷体" w:cs="楷体"/>
          <w:szCs w:val="30"/>
          <w:shd w:val="clear" w:color="auto" w:fill="FFFFFF" w:themeFill="background1"/>
        </w:rPr>
      </w:pPr>
      <w:bookmarkStart w:id="89" w:name="_Toc2322"/>
      <w:bookmarkStart w:id="90" w:name="_Toc7063"/>
      <w:r>
        <w:rPr>
          <w:rFonts w:hint="eastAsia" w:ascii="楷体" w:hAnsi="楷体" w:eastAsia="楷体" w:cs="楷体"/>
          <w:szCs w:val="30"/>
          <w:shd w:val="clear" w:color="auto" w:fill="FFFFFF" w:themeFill="background1"/>
        </w:rPr>
        <w:t>（一）评分情况</w:t>
      </w:r>
      <w:bookmarkEnd w:id="89"/>
      <w:bookmarkEnd w:id="90"/>
    </w:p>
    <w:p>
      <w:pPr>
        <w:spacing w:line="600" w:lineRule="exact"/>
        <w:ind w:firstLine="600" w:firstLineChars="200"/>
      </w:pPr>
      <w:bookmarkStart w:id="91" w:name="_Hlk525314439"/>
      <w:r>
        <w:rPr>
          <w:rFonts w:hint="eastAsia"/>
        </w:rPr>
        <w:t>通过综合评价，</w:t>
      </w:r>
      <w:bookmarkStart w:id="92" w:name="_Hlk45536327"/>
      <w:r>
        <w:rPr>
          <w:rFonts w:hint="eastAsia"/>
        </w:rPr>
        <w:t>梁平区</w:t>
      </w:r>
      <w:bookmarkEnd w:id="92"/>
      <w:r>
        <w:rPr>
          <w:rFonts w:hint="eastAsia"/>
        </w:rPr>
        <w:t>2020年安排防疫物资采购经费项目综合得分为9</w:t>
      </w:r>
      <w:r>
        <w:rPr>
          <w:rFonts w:hint="eastAsia"/>
          <w:lang w:val="en-US" w:eastAsia="zh-CN"/>
        </w:rPr>
        <w:t>4</w:t>
      </w:r>
      <w:r>
        <w:rPr>
          <w:rFonts w:hint="eastAsia"/>
        </w:rPr>
        <w:t>.50分，评价等级为优。具体评分情况如下:</w:t>
      </w:r>
      <w:bookmarkEnd w:id="91"/>
    </w:p>
    <w:tbl>
      <w:tblPr>
        <w:tblStyle w:val="12"/>
        <w:tblW w:w="7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7"/>
        <w:gridCol w:w="2586"/>
        <w:gridCol w:w="2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587"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一级指标</w:t>
            </w:r>
          </w:p>
        </w:tc>
        <w:tc>
          <w:tcPr>
            <w:tcW w:w="2586"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标准分值</w:t>
            </w:r>
          </w:p>
        </w:tc>
        <w:tc>
          <w:tcPr>
            <w:tcW w:w="2587"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决策</w:t>
            </w:r>
          </w:p>
        </w:tc>
        <w:tc>
          <w:tcPr>
            <w:tcW w:w="2586"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20</w:t>
            </w:r>
          </w:p>
        </w:tc>
        <w:tc>
          <w:tcPr>
            <w:tcW w:w="2587" w:type="dxa"/>
            <w:vAlign w:val="center"/>
          </w:tcPr>
          <w:p>
            <w:pPr>
              <w:snapToGrid w:val="0"/>
              <w:jc w:val="center"/>
              <w:rPr>
                <w:rFonts w:hint="eastAsia" w:eastAsia="仿宋" w:cs="宋体"/>
                <w:sz w:val="24"/>
                <w:szCs w:val="24"/>
                <w:shd w:val="clear" w:color="auto" w:fill="FFFFFF" w:themeFill="background1"/>
                <w:lang w:eastAsia="zh-CN"/>
              </w:rPr>
            </w:pPr>
            <w:r>
              <w:rPr>
                <w:rFonts w:hint="eastAsia" w:cs="宋体"/>
                <w:sz w:val="24"/>
                <w:szCs w:val="24"/>
                <w:shd w:val="clear" w:color="auto" w:fill="FFFFFF" w:themeFill="background1"/>
              </w:rPr>
              <w:t>1</w:t>
            </w:r>
            <w:r>
              <w:rPr>
                <w:rFonts w:hint="eastAsia" w:cs="宋体"/>
                <w:sz w:val="24"/>
                <w:szCs w:val="24"/>
                <w:shd w:val="clear" w:color="auto" w:fill="FFFFFF" w:themeFill="background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过程</w:t>
            </w:r>
          </w:p>
        </w:tc>
        <w:tc>
          <w:tcPr>
            <w:tcW w:w="2586"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20</w:t>
            </w:r>
          </w:p>
        </w:tc>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1</w:t>
            </w:r>
            <w:r>
              <w:rPr>
                <w:rFonts w:hint="eastAsia" w:cs="宋体"/>
                <w:sz w:val="24"/>
                <w:szCs w:val="24"/>
                <w:shd w:val="clear" w:color="auto" w:fill="FFFFFF" w:themeFill="background1"/>
                <w:lang w:val="en-US" w:eastAsia="zh-CN"/>
              </w:rPr>
              <w:t>7</w:t>
            </w:r>
            <w:r>
              <w:rPr>
                <w:rFonts w:hint="eastAsia" w:cs="宋体"/>
                <w:sz w:val="24"/>
                <w:szCs w:val="24"/>
                <w:shd w:val="clear" w:color="auto" w:fill="FFFFFF" w:themeFill="background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产出</w:t>
            </w:r>
          </w:p>
        </w:tc>
        <w:tc>
          <w:tcPr>
            <w:tcW w:w="2586"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30</w:t>
            </w:r>
          </w:p>
        </w:tc>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效益</w:t>
            </w:r>
          </w:p>
        </w:tc>
        <w:tc>
          <w:tcPr>
            <w:tcW w:w="2586"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30</w:t>
            </w:r>
          </w:p>
        </w:tc>
        <w:tc>
          <w:tcPr>
            <w:tcW w:w="2587" w:type="dxa"/>
            <w:vAlign w:val="center"/>
          </w:tcPr>
          <w:p>
            <w:pPr>
              <w:snapToGrid w:val="0"/>
              <w:jc w:val="center"/>
              <w:rPr>
                <w:rFonts w:cs="宋体"/>
                <w:sz w:val="24"/>
                <w:szCs w:val="24"/>
                <w:shd w:val="clear" w:color="auto" w:fill="FFFFFF" w:themeFill="background1"/>
              </w:rPr>
            </w:pPr>
            <w:r>
              <w:rPr>
                <w:rFonts w:hint="eastAsia" w:cs="宋体"/>
                <w:sz w:val="24"/>
                <w:szCs w:val="24"/>
                <w:shd w:val="clear" w:color="auto" w:fill="FFFFFF" w:themeFill="background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587" w:type="dxa"/>
            <w:vAlign w:val="center"/>
          </w:tcPr>
          <w:p>
            <w:pPr>
              <w:snapToGrid w:val="0"/>
              <w:jc w:val="center"/>
              <w:rPr>
                <w:rFonts w:cs="宋体"/>
                <w:sz w:val="24"/>
                <w:szCs w:val="24"/>
                <w:shd w:val="clear" w:color="auto" w:fill="FFFFFF" w:themeFill="background1"/>
              </w:rPr>
            </w:pPr>
            <w:r>
              <w:rPr>
                <w:rFonts w:hint="eastAsia" w:cs="宋体"/>
                <w:b/>
                <w:bCs/>
                <w:sz w:val="24"/>
                <w:szCs w:val="24"/>
                <w:shd w:val="clear" w:color="auto" w:fill="FFFFFF" w:themeFill="background1"/>
              </w:rPr>
              <w:t>小   计</w:t>
            </w:r>
          </w:p>
        </w:tc>
        <w:tc>
          <w:tcPr>
            <w:tcW w:w="2586"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100</w:t>
            </w:r>
          </w:p>
        </w:tc>
        <w:tc>
          <w:tcPr>
            <w:tcW w:w="2587" w:type="dxa"/>
            <w:vAlign w:val="center"/>
          </w:tcPr>
          <w:p>
            <w:pPr>
              <w:snapToGrid w:val="0"/>
              <w:jc w:val="center"/>
              <w:rPr>
                <w:rFonts w:cs="宋体"/>
                <w:b/>
                <w:bCs/>
                <w:sz w:val="24"/>
                <w:szCs w:val="24"/>
                <w:shd w:val="clear" w:color="auto" w:fill="FFFFFF" w:themeFill="background1"/>
              </w:rPr>
            </w:pPr>
            <w:r>
              <w:rPr>
                <w:rFonts w:hint="eastAsia" w:cs="宋体"/>
                <w:b/>
                <w:bCs/>
                <w:sz w:val="24"/>
                <w:szCs w:val="24"/>
                <w:shd w:val="clear" w:color="auto" w:fill="FFFFFF" w:themeFill="background1"/>
              </w:rPr>
              <w:t>9</w:t>
            </w:r>
            <w:r>
              <w:rPr>
                <w:rFonts w:hint="eastAsia" w:cs="宋体"/>
                <w:b/>
                <w:bCs/>
                <w:sz w:val="24"/>
                <w:szCs w:val="24"/>
                <w:shd w:val="clear" w:color="auto" w:fill="FFFFFF" w:themeFill="background1"/>
                <w:lang w:val="en-US" w:eastAsia="zh-CN"/>
              </w:rPr>
              <w:t>4</w:t>
            </w:r>
            <w:r>
              <w:rPr>
                <w:rFonts w:hint="eastAsia" w:cs="宋体"/>
                <w:b/>
                <w:bCs/>
                <w:sz w:val="24"/>
                <w:szCs w:val="24"/>
                <w:shd w:val="clear" w:color="auto" w:fill="FFFFFF" w:themeFill="background1"/>
              </w:rPr>
              <w:t>.50</w:t>
            </w:r>
          </w:p>
        </w:tc>
      </w:tr>
    </w:tbl>
    <w:p>
      <w:pPr>
        <w:spacing w:line="600" w:lineRule="exact"/>
        <w:ind w:firstLine="600" w:firstLineChars="200"/>
        <w:outlineLvl w:val="1"/>
        <w:rPr>
          <w:rFonts w:ascii="楷体" w:hAnsi="楷体" w:eastAsia="楷体" w:cs="楷体"/>
          <w:szCs w:val="30"/>
          <w:shd w:val="clear" w:color="auto" w:fill="FFFFFF" w:themeFill="background1"/>
        </w:rPr>
      </w:pPr>
      <w:bookmarkStart w:id="93" w:name="_Toc7796"/>
      <w:bookmarkStart w:id="94" w:name="_Toc27933"/>
      <w:r>
        <w:rPr>
          <w:rFonts w:hint="eastAsia" w:ascii="楷体" w:hAnsi="楷体" w:eastAsia="楷体" w:cs="楷体"/>
          <w:szCs w:val="30"/>
          <w:shd w:val="clear" w:color="auto" w:fill="FFFFFF" w:themeFill="background1"/>
        </w:rPr>
        <w:t>（二）综合结论</w:t>
      </w:r>
      <w:bookmarkEnd w:id="93"/>
      <w:bookmarkEnd w:id="94"/>
    </w:p>
    <w:p>
      <w:pPr>
        <w:spacing w:line="600" w:lineRule="exact"/>
        <w:ind w:firstLine="600" w:firstLineChars="200"/>
      </w:pPr>
      <w:bookmarkStart w:id="95" w:name="_Hlk525314457"/>
      <w:r>
        <w:rPr>
          <w:rFonts w:hint="eastAsia"/>
        </w:rPr>
        <w:t>通过绩效分析，综合评价认为：</w:t>
      </w:r>
    </w:p>
    <w:bookmarkEnd w:id="95"/>
    <w:p>
      <w:pPr>
        <w:spacing w:line="600" w:lineRule="exact"/>
        <w:ind w:firstLine="600" w:firstLineChars="200"/>
        <w:outlineLvl w:val="0"/>
        <w:rPr>
          <w:rFonts w:hint="eastAsia"/>
        </w:rPr>
      </w:pPr>
      <w:bookmarkStart w:id="96" w:name="_Toc7685"/>
      <w:bookmarkStart w:id="97" w:name="_Toc19086"/>
      <w:r>
        <w:rPr>
          <w:rFonts w:hint="eastAsia"/>
        </w:rPr>
        <w:t>梁平区2020年安排防疫物资采购经费项目总体来看，较好的完成了2020年项目采购计划和物资储备，为全区加强采购口罩、防护服(隔离衣)、消毒液、手持测温仪等医用物资，积极指导复工复产</w:t>
      </w:r>
      <w:r>
        <w:rPr>
          <w:rFonts w:hint="eastAsia"/>
          <w:szCs w:val="30"/>
        </w:rPr>
        <w:t>工业</w:t>
      </w:r>
      <w:r>
        <w:rPr>
          <w:rFonts w:hint="eastAsia"/>
        </w:rPr>
        <w:t>企业科学有序开展各项防控工作，疫情防控工作取得积极成效。但还存在暂未编制具体绩效目标，绩效目标管理不完善；财务核算不够严谨，财务凭证附件不全；部分物资无发货随行单，入库程序管理不到位；过程监督不到位，未组织考评、盘点程序等问题。</w:t>
      </w:r>
    </w:p>
    <w:p>
      <w:pPr>
        <w:spacing w:line="600" w:lineRule="exact"/>
        <w:ind w:firstLine="600" w:firstLineChars="200"/>
        <w:outlineLvl w:val="0"/>
        <w:rPr>
          <w:rFonts w:ascii="黑体" w:hAnsi="黑体" w:eastAsia="黑体" w:cs="宋体"/>
          <w:szCs w:val="30"/>
          <w:shd w:val="clear" w:color="auto" w:fill="FFFFFF" w:themeFill="background1"/>
        </w:rPr>
      </w:pPr>
      <w:r>
        <w:rPr>
          <w:rFonts w:hint="eastAsia" w:ascii="黑体" w:hAnsi="黑体" w:eastAsia="黑体" w:cs="宋体"/>
          <w:szCs w:val="30"/>
          <w:shd w:val="clear" w:color="auto" w:fill="FFFFFF" w:themeFill="background1"/>
        </w:rPr>
        <w:t>五、存在的问题和不足</w:t>
      </w:r>
      <w:bookmarkEnd w:id="96"/>
      <w:bookmarkEnd w:id="97"/>
    </w:p>
    <w:p>
      <w:pPr>
        <w:spacing w:line="600" w:lineRule="exact"/>
        <w:ind w:firstLine="600" w:firstLineChars="200"/>
        <w:outlineLvl w:val="1"/>
        <w:rPr>
          <w:rFonts w:ascii="楷体" w:hAnsi="楷体" w:eastAsia="楷体" w:cs="楷体"/>
          <w:szCs w:val="30"/>
          <w:shd w:val="clear" w:color="auto" w:fill="FFFFFF" w:themeFill="background1"/>
        </w:rPr>
      </w:pPr>
      <w:bookmarkStart w:id="98" w:name="_Toc8490"/>
      <w:bookmarkStart w:id="99" w:name="_Toc26659"/>
      <w:r>
        <w:rPr>
          <w:rFonts w:hint="eastAsia" w:ascii="楷体" w:hAnsi="楷体" w:eastAsia="楷体" w:cs="楷体"/>
          <w:szCs w:val="30"/>
          <w:shd w:val="clear" w:color="auto" w:fill="FFFFFF" w:themeFill="background1"/>
        </w:rPr>
        <w:t>（一）</w:t>
      </w:r>
      <w:bookmarkEnd w:id="98"/>
      <w:r>
        <w:rPr>
          <w:rFonts w:hint="eastAsia" w:ascii="楷体" w:hAnsi="楷体" w:eastAsia="楷体" w:cs="楷体"/>
          <w:szCs w:val="30"/>
          <w:shd w:val="clear" w:color="auto" w:fill="FFFFFF" w:themeFill="background1"/>
        </w:rPr>
        <w:t>暂未编制</w:t>
      </w:r>
      <w:r>
        <w:rPr>
          <w:rFonts w:hint="eastAsia" w:ascii="楷体" w:hAnsi="楷体" w:eastAsia="楷体" w:cs="楷体"/>
          <w:szCs w:val="30"/>
          <w:shd w:val="clear" w:color="auto" w:fill="FFFFFF" w:themeFill="background1"/>
          <w:lang w:val="en-US" w:eastAsia="zh-CN"/>
        </w:rPr>
        <w:t>具体</w:t>
      </w:r>
      <w:r>
        <w:rPr>
          <w:rFonts w:hint="eastAsia" w:ascii="楷体" w:hAnsi="楷体" w:eastAsia="楷体" w:cs="楷体"/>
          <w:szCs w:val="30"/>
          <w:shd w:val="clear" w:color="auto" w:fill="FFFFFF" w:themeFill="background1"/>
        </w:rPr>
        <w:t>绩效目标，绩效目标管理不完善</w:t>
      </w:r>
      <w:bookmarkEnd w:id="99"/>
    </w:p>
    <w:p>
      <w:pPr>
        <w:spacing w:line="600" w:lineRule="exact"/>
        <w:ind w:firstLine="600" w:firstLineChars="200"/>
        <w:rPr>
          <w:rFonts w:ascii="楷体" w:hAnsi="楷体" w:eastAsia="楷体"/>
          <w:szCs w:val="30"/>
          <w:highlight w:val="yellow"/>
          <w:shd w:val="clear" w:color="auto" w:fill="FFFFFF" w:themeFill="background1"/>
        </w:rPr>
      </w:pPr>
      <w:bookmarkStart w:id="100" w:name="_Toc45550637"/>
      <w:r>
        <w:rPr>
          <w:rFonts w:hint="eastAsia"/>
          <w:highlight w:val="none"/>
          <w:shd w:val="clear" w:color="auto" w:fill="FFFFFF" w:themeFill="background1"/>
        </w:rPr>
        <w:t>区经信委</w:t>
      </w:r>
      <w:r>
        <w:rPr>
          <w:rFonts w:hint="eastAsia"/>
          <w:highlight w:val="none"/>
          <w:shd w:val="clear" w:color="auto" w:fill="FFFFFF" w:themeFill="background1"/>
          <w:lang w:val="en-US" w:eastAsia="zh-CN"/>
        </w:rPr>
        <w:t>仅有总体绩效目标，</w:t>
      </w:r>
      <w:r>
        <w:rPr>
          <w:rFonts w:hint="eastAsia"/>
          <w:highlight w:val="none"/>
          <w:shd w:val="clear" w:color="auto" w:fill="FFFFFF" w:themeFill="background1"/>
        </w:rPr>
        <w:t>未编制防疫物资采购项目的</w:t>
      </w:r>
      <w:r>
        <w:rPr>
          <w:rFonts w:hint="eastAsia"/>
          <w:highlight w:val="none"/>
          <w:shd w:val="clear" w:color="auto" w:fill="FFFFFF" w:themeFill="background1"/>
          <w:lang w:val="en-US" w:eastAsia="zh-CN"/>
        </w:rPr>
        <w:t>具体</w:t>
      </w:r>
      <w:r>
        <w:rPr>
          <w:rFonts w:hint="eastAsia"/>
          <w:highlight w:val="none"/>
          <w:shd w:val="clear" w:color="auto" w:fill="FFFFFF" w:themeFill="background1"/>
        </w:rPr>
        <w:t>绩效目标</w:t>
      </w:r>
      <w:r>
        <w:rPr>
          <w:rFonts w:hint="eastAsia"/>
          <w:highlight w:val="none"/>
          <w:shd w:val="clear" w:color="auto" w:fill="FFFFFF" w:themeFill="background1"/>
          <w:lang w:val="en-US" w:eastAsia="zh-CN"/>
        </w:rPr>
        <w:t>及分解相关绩效指标</w:t>
      </w:r>
      <w:r>
        <w:rPr>
          <w:rFonts w:hint="eastAsia"/>
          <w:shd w:val="clear" w:color="auto" w:fill="FFFFFF" w:themeFill="background1"/>
          <w:lang w:eastAsia="zh-CN"/>
        </w:rPr>
        <w:t>，</w:t>
      </w:r>
      <w:r>
        <w:rPr>
          <w:rFonts w:hint="eastAsia"/>
          <w:shd w:val="clear" w:color="auto" w:fill="FFFFFF" w:themeFill="background1"/>
        </w:rPr>
        <w:t>系由于该项目自身的特殊性及时间的紧迫性，较多的涉及物资采购及发放管理，对</w:t>
      </w:r>
      <w:r>
        <w:rPr>
          <w:rFonts w:hint="eastAsia"/>
          <w:shd w:val="clear" w:color="auto" w:fill="FFFFFF" w:themeFill="background1"/>
          <w:lang w:val="en-US" w:eastAsia="zh-CN"/>
        </w:rPr>
        <w:t>具体</w:t>
      </w:r>
      <w:r>
        <w:rPr>
          <w:rFonts w:hint="eastAsia"/>
          <w:shd w:val="clear" w:color="auto" w:fill="FFFFFF" w:themeFill="background1"/>
        </w:rPr>
        <w:t>绩效目标设置及管理较为欠缺。但根据《重庆市财政局关于印发重庆市抗疫特别国债项目绩效管理办法的通知》（渝财绩〔2020〕15号）文件，应编制绩效目标，且项目</w:t>
      </w:r>
      <w:r>
        <w:rPr>
          <w:rFonts w:hint="eastAsia"/>
          <w:shd w:val="clear" w:color="auto" w:fill="FFFFFF" w:themeFill="background1"/>
          <w:lang w:val="en-US" w:eastAsia="zh-CN"/>
        </w:rPr>
        <w:t>绩效</w:t>
      </w:r>
      <w:r>
        <w:rPr>
          <w:rFonts w:hint="eastAsia"/>
          <w:shd w:val="clear" w:color="auto" w:fill="FFFFFF" w:themeFill="background1"/>
        </w:rPr>
        <w:t>目标应与预算安排相关联，反映出项目的产出效益和效果。</w:t>
      </w:r>
    </w:p>
    <w:p>
      <w:pPr>
        <w:spacing w:line="600" w:lineRule="exact"/>
        <w:ind w:firstLine="600" w:firstLineChars="200"/>
        <w:outlineLvl w:val="1"/>
        <w:rPr>
          <w:rFonts w:ascii="楷体" w:hAnsi="楷体" w:eastAsia="楷体" w:cs="楷体"/>
          <w:szCs w:val="30"/>
          <w:shd w:val="clear" w:color="auto" w:fill="FFFFFF" w:themeFill="background1"/>
        </w:rPr>
      </w:pPr>
      <w:bookmarkStart w:id="101" w:name="_Toc29300"/>
      <w:bookmarkStart w:id="102" w:name="_Toc10732"/>
      <w:bookmarkStart w:id="103" w:name="_Toc3925"/>
      <w:r>
        <w:rPr>
          <w:rFonts w:hint="eastAsia" w:ascii="楷体" w:hAnsi="楷体" w:eastAsia="楷体" w:cs="楷体"/>
          <w:szCs w:val="30"/>
          <w:shd w:val="clear" w:color="auto" w:fill="FFFFFF" w:themeFill="background1"/>
        </w:rPr>
        <w:t>（二）</w:t>
      </w:r>
      <w:bookmarkEnd w:id="101"/>
      <w:r>
        <w:rPr>
          <w:rFonts w:hint="eastAsia" w:ascii="楷体" w:hAnsi="楷体" w:eastAsia="楷体" w:cs="楷体"/>
          <w:szCs w:val="30"/>
          <w:shd w:val="clear" w:color="auto" w:fill="FFFFFF" w:themeFill="background1"/>
        </w:rPr>
        <w:t>财务核算不够严谨，财务凭证附件不全</w:t>
      </w:r>
      <w:bookmarkEnd w:id="102"/>
    </w:p>
    <w:p>
      <w:pPr>
        <w:spacing w:line="600" w:lineRule="exact"/>
        <w:ind w:firstLine="600" w:firstLineChars="200"/>
        <w:rPr>
          <w:shd w:val="clear" w:color="auto" w:fill="FFFFFF" w:themeFill="background1"/>
        </w:rPr>
      </w:pPr>
      <w:r>
        <w:rPr>
          <w:rFonts w:hint="eastAsia"/>
          <w:shd w:val="clear" w:color="auto" w:fill="FFFFFF" w:themeFill="background1"/>
        </w:rPr>
        <w:t>区经信委作为本项目的实施单位，负责2020年防疫物资采购项目财务管理工作。经绩效评价小组查询相关支出财务凭证后发现，2020年3月第34号凭证和36号凭证为退回购买防疫物资货款，34号凭证退回17.03万元防疫物资货款系现金退回且后附件仅为区经信委开具的收据，36号凭证退回81.97万元防疫物资货款系银行退回81.77万元、现金退回0.20万元且后附件仅为银行收款回单。财务人员在编制相关记账凭证时，未对凭证后附件进行情况说明及未见相关领导审批意见，且退回货款为前期向不同供应商购买多批次防疫物资款，未与前期已支付货款凭证每个供应商的货款一一对应。</w:t>
      </w:r>
    </w:p>
    <w:p>
      <w:pPr>
        <w:spacing w:line="600" w:lineRule="exact"/>
        <w:ind w:firstLine="600" w:firstLineChars="200"/>
        <w:rPr>
          <w:shd w:val="clear" w:color="auto" w:fill="FFFFFF" w:themeFill="background1"/>
        </w:rPr>
      </w:pPr>
      <w:r>
        <w:rPr>
          <w:rFonts w:hint="eastAsia"/>
          <w:shd w:val="clear" w:color="auto" w:fill="FFFFFF" w:themeFill="background1"/>
        </w:rPr>
        <w:t>评价认为，虽然已建立健全专项资金管理制度加强财务管理，但仍存在财务核算工作不够严谨，相关凭证规范性有待加强的情况。</w:t>
      </w:r>
    </w:p>
    <w:p>
      <w:pPr>
        <w:spacing w:line="600" w:lineRule="exact"/>
        <w:ind w:firstLine="600" w:firstLineChars="200"/>
        <w:outlineLvl w:val="1"/>
        <w:rPr>
          <w:rFonts w:ascii="楷体" w:hAnsi="楷体" w:eastAsia="楷体" w:cs="楷体"/>
          <w:szCs w:val="30"/>
          <w:shd w:val="clear" w:color="auto" w:fill="FFFFFF" w:themeFill="background1"/>
        </w:rPr>
      </w:pPr>
      <w:bookmarkStart w:id="104" w:name="_Toc21606"/>
      <w:r>
        <w:rPr>
          <w:rFonts w:hint="eastAsia" w:ascii="楷体" w:hAnsi="楷体" w:eastAsia="楷体" w:cs="楷体"/>
          <w:szCs w:val="30"/>
          <w:shd w:val="clear" w:color="auto" w:fill="FFFFFF" w:themeFill="background1"/>
        </w:rPr>
        <w:t>（三）部分物资无发货随行单，入库程序管理不到位</w:t>
      </w:r>
      <w:bookmarkEnd w:id="104"/>
    </w:p>
    <w:p>
      <w:pPr>
        <w:spacing w:line="600" w:lineRule="exact"/>
        <w:ind w:firstLine="600" w:firstLineChars="200"/>
        <w:rPr>
          <w:shd w:val="clear" w:color="auto" w:fill="FFFFFF" w:themeFill="background1"/>
        </w:rPr>
      </w:pPr>
      <w:r>
        <w:rPr>
          <w:rFonts w:hint="eastAsia"/>
          <w:shd w:val="clear" w:color="auto" w:fill="FFFFFF" w:themeFill="background1"/>
          <w:lang w:eastAsia="zh-CN"/>
        </w:rPr>
        <w:t>区经信委</w:t>
      </w:r>
      <w:r>
        <w:rPr>
          <w:rFonts w:hint="eastAsia"/>
          <w:shd w:val="clear" w:color="auto" w:fill="FFFFFF" w:themeFill="background1"/>
        </w:rPr>
        <w:t>根据梁肺炎组办发〔2020〕1号文件要求，负责除医疗物资系统外的防疫物资保障，积极协调物资采购，保障物资储备。按照</w:t>
      </w:r>
      <w:r>
        <w:rPr>
          <w:rFonts w:hint="eastAsia" w:cs="宋体"/>
          <w:color w:val="000000"/>
          <w:kern w:val="2"/>
          <w:szCs w:val="30"/>
        </w:rPr>
        <w:t>《重庆市梁平区新型冠状病毒感染的肺炎疫情应急物资管理制度》进行</w:t>
      </w:r>
      <w:r>
        <w:rPr>
          <w:rFonts w:hint="eastAsia"/>
          <w:shd w:val="clear" w:color="auto" w:fill="FFFFFF" w:themeFill="background1"/>
        </w:rPr>
        <w:t>应急物资管理，但经绩效评价小组查阅出入库明细表及入库票据等资料发现，部分防疫物资入库时并无发货随行单，不利于接货人员和复核人员审核验收；物资入库程序应为2人进行审核验收，但根据入库明细表记录存在仅为1人进行入库签收及入库签收人未签字的情况，入库管理不到位。</w:t>
      </w:r>
    </w:p>
    <w:p>
      <w:pPr>
        <w:spacing w:line="600" w:lineRule="exact"/>
        <w:ind w:firstLine="600" w:firstLineChars="200"/>
        <w:rPr>
          <w:shd w:val="clear" w:color="auto" w:fill="FFFFFF" w:themeFill="background1"/>
        </w:rPr>
      </w:pPr>
      <w:r>
        <w:rPr>
          <w:rFonts w:hint="eastAsia"/>
          <w:shd w:val="clear" w:color="auto" w:fill="FFFFFF" w:themeFill="background1"/>
        </w:rPr>
        <w:t>虽然物资采购项目时间紧迫、工作量大，但</w:t>
      </w:r>
      <w:r>
        <w:rPr>
          <w:rFonts w:hint="eastAsia"/>
          <w:shd w:val="clear" w:color="auto" w:fill="FFFFFF" w:themeFill="background1"/>
          <w:lang w:eastAsia="zh-CN"/>
        </w:rPr>
        <w:t>区经信委</w:t>
      </w:r>
      <w:r>
        <w:rPr>
          <w:rFonts w:hint="eastAsia"/>
          <w:shd w:val="clear" w:color="auto" w:fill="FFFFFF" w:themeFill="background1"/>
        </w:rPr>
        <w:t>也应加强应急物资的管理，做好物资入库管理，保障物资账实相符，程序合规。</w:t>
      </w:r>
    </w:p>
    <w:p>
      <w:pPr>
        <w:spacing w:line="600" w:lineRule="exact"/>
        <w:ind w:firstLine="600" w:firstLineChars="200"/>
        <w:outlineLvl w:val="1"/>
        <w:rPr>
          <w:rFonts w:ascii="楷体" w:hAnsi="楷体" w:eastAsia="楷体" w:cs="楷体"/>
          <w:szCs w:val="30"/>
          <w:shd w:val="clear" w:color="auto" w:fill="FFFFFF" w:themeFill="background1"/>
        </w:rPr>
      </w:pPr>
      <w:bookmarkStart w:id="105" w:name="_Toc1833"/>
      <w:r>
        <w:rPr>
          <w:rFonts w:hint="eastAsia" w:ascii="楷体" w:hAnsi="楷体" w:eastAsia="楷体" w:cs="楷体"/>
          <w:szCs w:val="30"/>
          <w:shd w:val="clear" w:color="auto" w:fill="FFFFFF" w:themeFill="background1"/>
        </w:rPr>
        <w:t>（四）</w:t>
      </w:r>
      <w:bookmarkEnd w:id="100"/>
      <w:bookmarkEnd w:id="103"/>
      <w:bookmarkStart w:id="106" w:name="_Hlk62823894"/>
      <w:r>
        <w:rPr>
          <w:rFonts w:hint="eastAsia" w:ascii="楷体" w:hAnsi="楷体" w:eastAsia="楷体" w:cs="楷体"/>
          <w:szCs w:val="30"/>
          <w:shd w:val="clear" w:color="auto" w:fill="FFFFFF" w:themeFill="background1"/>
        </w:rPr>
        <w:t>过程监督不到位，未组织考评、盘点程序</w:t>
      </w:r>
      <w:bookmarkEnd w:id="105"/>
      <w:bookmarkEnd w:id="106"/>
    </w:p>
    <w:p>
      <w:pPr>
        <w:spacing w:line="600" w:lineRule="exact"/>
        <w:ind w:firstLine="600" w:firstLineChars="200"/>
        <w:rPr>
          <w:shd w:val="clear" w:color="auto" w:fill="FFFFFF" w:themeFill="background1"/>
        </w:rPr>
      </w:pPr>
      <w:bookmarkStart w:id="107" w:name="_Hlk45549658"/>
      <w:r>
        <w:rPr>
          <w:rFonts w:hint="eastAsia"/>
          <w:shd w:val="clear" w:color="auto" w:fill="FFFFFF" w:themeFill="background1"/>
          <w:lang w:eastAsia="zh-CN"/>
        </w:rPr>
        <w:t>区经信委</w:t>
      </w:r>
      <w:r>
        <w:rPr>
          <w:rFonts w:hint="eastAsia"/>
          <w:shd w:val="clear" w:color="auto" w:fill="FFFFFF" w:themeFill="background1"/>
        </w:rPr>
        <w:t>虽然已经建立防疫物资出入库明细账，保障应急物资合理存放，严格物资出库管理。但购买的防疫物资在2020年1月至2020年5月12日存放管理期间，库存管理人员未定期对库存物资进行核准清点，未能准确把控库存物资情况，导致移交过程中存在盘盈的情况。项目采购执行过程中未组织考评检查，未对相关管理人员的职责进行监督考核，未见相关检查考核文件，过程监督管理不到位</w:t>
      </w:r>
      <w:bookmarkEnd w:id="107"/>
      <w:r>
        <w:rPr>
          <w:rFonts w:hint="eastAsia"/>
          <w:shd w:val="clear" w:color="auto" w:fill="FFFFFF" w:themeFill="background1"/>
        </w:rPr>
        <w:t>。</w:t>
      </w:r>
    </w:p>
    <w:p>
      <w:pPr>
        <w:spacing w:line="600" w:lineRule="exact"/>
        <w:ind w:firstLine="600" w:firstLineChars="200"/>
        <w:outlineLvl w:val="0"/>
        <w:rPr>
          <w:rFonts w:ascii="黑体" w:hAnsi="黑体" w:eastAsia="黑体" w:cs="宋体"/>
          <w:szCs w:val="30"/>
          <w:shd w:val="clear" w:color="auto" w:fill="FFFFFF" w:themeFill="background1"/>
        </w:rPr>
      </w:pPr>
      <w:bookmarkStart w:id="108" w:name="_Toc4924"/>
      <w:bookmarkStart w:id="109" w:name="_Toc17124"/>
      <w:r>
        <w:rPr>
          <w:rFonts w:hint="eastAsia" w:ascii="黑体" w:hAnsi="黑体" w:eastAsia="黑体" w:cs="宋体"/>
          <w:szCs w:val="30"/>
          <w:shd w:val="clear" w:color="auto" w:fill="FFFFFF" w:themeFill="background1"/>
        </w:rPr>
        <w:t>六、相关建议</w:t>
      </w:r>
      <w:bookmarkEnd w:id="108"/>
      <w:bookmarkEnd w:id="109"/>
      <w:bookmarkStart w:id="110" w:name="_Toc45550642"/>
    </w:p>
    <w:p>
      <w:pPr>
        <w:spacing w:line="600" w:lineRule="exact"/>
        <w:ind w:firstLine="600" w:firstLineChars="200"/>
        <w:outlineLvl w:val="1"/>
        <w:rPr>
          <w:rFonts w:ascii="楷体" w:hAnsi="楷体" w:eastAsia="楷体" w:cs="楷体"/>
          <w:szCs w:val="30"/>
          <w:shd w:val="clear" w:color="auto" w:fill="FFFFFF" w:themeFill="background1"/>
        </w:rPr>
      </w:pPr>
      <w:bookmarkStart w:id="111" w:name="_Toc7197"/>
      <w:bookmarkStart w:id="112" w:name="_Toc4388"/>
      <w:r>
        <w:rPr>
          <w:rFonts w:hint="eastAsia" w:ascii="楷体" w:hAnsi="楷体" w:eastAsia="楷体" w:cs="楷体"/>
          <w:szCs w:val="30"/>
          <w:shd w:val="clear" w:color="auto" w:fill="FFFFFF" w:themeFill="background1"/>
        </w:rPr>
        <w:t>（一）</w:t>
      </w:r>
      <w:bookmarkEnd w:id="111"/>
      <w:r>
        <w:rPr>
          <w:rFonts w:hint="eastAsia" w:ascii="楷体" w:hAnsi="楷体" w:eastAsia="楷体" w:cs="楷体"/>
          <w:szCs w:val="30"/>
          <w:shd w:val="clear" w:color="auto" w:fill="FFFFFF" w:themeFill="background1"/>
        </w:rPr>
        <w:t>完善</w:t>
      </w:r>
      <w:r>
        <w:rPr>
          <w:rFonts w:hint="eastAsia" w:ascii="楷体" w:hAnsi="楷体" w:eastAsia="楷体" w:cs="楷体"/>
          <w:szCs w:val="30"/>
          <w:shd w:val="clear" w:color="auto" w:fill="FFFFFF" w:themeFill="background1"/>
          <w:lang w:val="en-US" w:eastAsia="zh-CN"/>
        </w:rPr>
        <w:t>具体</w:t>
      </w:r>
      <w:r>
        <w:rPr>
          <w:rFonts w:hint="eastAsia" w:ascii="楷体" w:hAnsi="楷体" w:eastAsia="楷体" w:cs="楷体"/>
          <w:szCs w:val="30"/>
          <w:shd w:val="clear" w:color="auto" w:fill="FFFFFF" w:themeFill="background1"/>
        </w:rPr>
        <w:t>绩效目标编制工作，提升绩效目标管理</w:t>
      </w:r>
      <w:bookmarkEnd w:id="112"/>
    </w:p>
    <w:p>
      <w:pPr>
        <w:spacing w:line="600" w:lineRule="exact"/>
        <w:ind w:firstLine="600" w:firstLineChars="200"/>
        <w:rPr>
          <w:shd w:val="clear" w:color="auto" w:fill="FFFFFF" w:themeFill="background1"/>
        </w:rPr>
      </w:pPr>
      <w:r>
        <w:rPr>
          <w:rFonts w:hint="eastAsia"/>
          <w:shd w:val="clear" w:color="auto" w:fill="FFFFFF" w:themeFill="background1"/>
        </w:rPr>
        <w:t>区经信委应按照《重庆市财政局关于印发重庆市抗疫特别国债项目绩效管理办法的通知》（渝财绩〔2020〕15号）文件要求编制绩效目标，基于项目的自身特殊性也应</w:t>
      </w:r>
      <w:r>
        <w:rPr>
          <w:rFonts w:hint="eastAsia"/>
          <w:shd w:val="clear" w:color="auto" w:fill="FFFFFF" w:themeFill="background1"/>
          <w:lang w:val="en-US" w:eastAsia="zh-CN"/>
        </w:rPr>
        <w:t>完善具体</w:t>
      </w:r>
      <w:r>
        <w:rPr>
          <w:rFonts w:hint="eastAsia"/>
          <w:shd w:val="clear" w:color="auto" w:fill="FFFFFF" w:themeFill="background1"/>
        </w:rPr>
        <w:t>绩效目标</w:t>
      </w:r>
      <w:r>
        <w:rPr>
          <w:rFonts w:hint="eastAsia"/>
          <w:shd w:val="clear" w:color="auto" w:fill="FFFFFF" w:themeFill="background1"/>
          <w:lang w:val="en-US" w:eastAsia="zh-CN"/>
        </w:rPr>
        <w:t>和细化绩效指标</w:t>
      </w:r>
      <w:r>
        <w:rPr>
          <w:rFonts w:hint="eastAsia"/>
          <w:shd w:val="clear" w:color="auto" w:fill="FFFFFF" w:themeFill="background1"/>
        </w:rPr>
        <w:t>并组织实施自评。加强绩效目标管理，有利于绩效目标与预算资金安排相对应，最大化保障资金使用效益，且合理设置项目投入、过程、产出及效果指标，通过将任务和要求等内容的指标化，有助于提升绩效目标对工作开展的指导性，保证项目开展效果的实现。</w:t>
      </w:r>
    </w:p>
    <w:p>
      <w:pPr>
        <w:spacing w:line="600" w:lineRule="exact"/>
        <w:ind w:firstLine="600" w:firstLineChars="200"/>
        <w:outlineLvl w:val="1"/>
        <w:rPr>
          <w:rFonts w:ascii="楷体" w:hAnsi="楷体" w:eastAsia="楷体" w:cs="楷体"/>
          <w:szCs w:val="30"/>
          <w:shd w:val="clear" w:color="auto" w:fill="FFFFFF" w:themeFill="background1"/>
        </w:rPr>
      </w:pPr>
      <w:bookmarkStart w:id="113" w:name="_Toc18695"/>
      <w:bookmarkStart w:id="114" w:name="_Toc17268"/>
      <w:r>
        <w:rPr>
          <w:rFonts w:hint="eastAsia" w:ascii="楷体" w:hAnsi="楷体" w:eastAsia="楷体" w:cs="楷体"/>
          <w:szCs w:val="30"/>
          <w:shd w:val="clear" w:color="auto" w:fill="FFFFFF" w:themeFill="background1"/>
        </w:rPr>
        <w:t>（二）</w:t>
      </w:r>
      <w:bookmarkEnd w:id="110"/>
      <w:bookmarkEnd w:id="113"/>
      <w:r>
        <w:rPr>
          <w:rFonts w:hint="eastAsia" w:ascii="楷体" w:hAnsi="楷体" w:eastAsia="楷体" w:cs="楷体"/>
          <w:szCs w:val="30"/>
          <w:shd w:val="clear" w:color="auto" w:fill="FFFFFF" w:themeFill="background1"/>
        </w:rPr>
        <w:t>加强财务核算规范性，不断提升财务管理的科学性</w:t>
      </w:r>
      <w:bookmarkEnd w:id="114"/>
    </w:p>
    <w:p>
      <w:pPr>
        <w:spacing w:line="600" w:lineRule="exact"/>
        <w:ind w:firstLine="600" w:firstLineChars="200"/>
        <w:rPr>
          <w:szCs w:val="30"/>
        </w:rPr>
      </w:pPr>
      <w:r>
        <w:rPr>
          <w:rFonts w:hint="eastAsia"/>
          <w:szCs w:val="30"/>
        </w:rPr>
        <w:t>财务核算工作应保证记录的正确性、完整性和合理性，区经信委应根据制定的《财务管理制度》加强财务核算工作的规范化管理，加大对财务核算的内控力度，努力提高财会人员的专业素质，进一步完善财务管理制度，加强财务核算的完整性，对财务核算程序和资料进一步规范和完善，不断提升财务管理的科学性。</w:t>
      </w:r>
    </w:p>
    <w:p>
      <w:pPr>
        <w:spacing w:line="600" w:lineRule="exact"/>
        <w:ind w:firstLine="600" w:firstLineChars="200"/>
        <w:outlineLvl w:val="1"/>
        <w:rPr>
          <w:rFonts w:ascii="楷体" w:hAnsi="楷体" w:eastAsia="楷体" w:cs="楷体"/>
          <w:szCs w:val="30"/>
          <w:shd w:val="clear" w:color="auto" w:fill="FFFFFF" w:themeFill="background1"/>
        </w:rPr>
      </w:pPr>
      <w:bookmarkStart w:id="115" w:name="_Toc4084"/>
      <w:bookmarkStart w:id="116" w:name="_Toc12565"/>
      <w:r>
        <w:rPr>
          <w:rFonts w:hint="eastAsia" w:ascii="楷体" w:hAnsi="楷体" w:eastAsia="楷体" w:cs="楷体"/>
          <w:szCs w:val="30"/>
          <w:shd w:val="clear" w:color="auto" w:fill="FFFFFF" w:themeFill="background1"/>
        </w:rPr>
        <w:t>（三）规范操作流程，</w:t>
      </w:r>
      <w:bookmarkEnd w:id="115"/>
      <w:r>
        <w:rPr>
          <w:rFonts w:hint="eastAsia" w:ascii="楷体" w:hAnsi="楷体" w:eastAsia="楷体" w:cs="楷体"/>
          <w:szCs w:val="30"/>
          <w:shd w:val="clear" w:color="auto" w:fill="FFFFFF" w:themeFill="background1"/>
        </w:rPr>
        <w:t>加强物资入库管理</w:t>
      </w:r>
      <w:bookmarkEnd w:id="116"/>
    </w:p>
    <w:p>
      <w:pPr>
        <w:spacing w:line="600" w:lineRule="exact"/>
        <w:ind w:firstLine="600" w:firstLineChars="200"/>
        <w:rPr>
          <w:szCs w:val="30"/>
        </w:rPr>
      </w:pPr>
      <w:r>
        <w:rPr>
          <w:rFonts w:hint="eastAsia"/>
          <w:szCs w:val="30"/>
          <w:lang w:eastAsia="zh-CN"/>
        </w:rPr>
        <w:t>区经信委</w:t>
      </w:r>
      <w:r>
        <w:rPr>
          <w:rFonts w:hint="eastAsia"/>
          <w:szCs w:val="30"/>
        </w:rPr>
        <w:t>需加强物资入库程序的操作流程，应要求供货商提供发货随行单并保存作为入库依据，物资入库时加以核对所到货物与合同订单、发货随行单要求的品种、规格、数量、时间是否一致，并按照</w:t>
      </w:r>
      <w:r>
        <w:rPr>
          <w:rFonts w:hint="eastAsia" w:cs="宋体"/>
          <w:color w:val="000000"/>
          <w:kern w:val="2"/>
          <w:szCs w:val="30"/>
        </w:rPr>
        <w:t>《重庆市梁平区新型冠状病毒感染的肺炎疫情应急物资管理制度》要求，</w:t>
      </w:r>
      <w:r>
        <w:rPr>
          <w:rFonts w:hint="eastAsia"/>
          <w:szCs w:val="30"/>
        </w:rPr>
        <w:t>入库管理人员对</w:t>
      </w:r>
      <w:r>
        <w:rPr>
          <w:rFonts w:hint="eastAsia" w:cs="宋体"/>
          <w:color w:val="000000"/>
          <w:kern w:val="2"/>
          <w:szCs w:val="30"/>
        </w:rPr>
        <w:t>入库明细单进行登记及签字确认。</w:t>
      </w:r>
      <w:r>
        <w:rPr>
          <w:rFonts w:hint="eastAsia"/>
          <w:szCs w:val="30"/>
        </w:rPr>
        <w:t>对新购买物资进行验收入库时应安排至少2名人员审核验收，保障物资入库程序的完整性及规范性，完善物资的入库管理，规范物资的入库验收制度。</w:t>
      </w:r>
    </w:p>
    <w:p>
      <w:pPr>
        <w:spacing w:line="600" w:lineRule="exact"/>
        <w:ind w:firstLine="600" w:firstLineChars="200"/>
        <w:outlineLvl w:val="1"/>
        <w:rPr>
          <w:rFonts w:ascii="楷体" w:hAnsi="楷体" w:eastAsia="楷体" w:cs="楷体"/>
          <w:szCs w:val="30"/>
          <w:shd w:val="clear" w:color="auto" w:fill="FFFFFF" w:themeFill="background1"/>
        </w:rPr>
      </w:pPr>
      <w:bookmarkStart w:id="117" w:name="_Toc113"/>
      <w:bookmarkStart w:id="118" w:name="_Toc11231"/>
      <w:r>
        <w:rPr>
          <w:rFonts w:hint="eastAsia" w:ascii="楷体" w:hAnsi="楷体" w:eastAsia="楷体" w:cs="楷体"/>
          <w:szCs w:val="30"/>
          <w:shd w:val="clear" w:color="auto" w:fill="FFFFFF" w:themeFill="background1"/>
        </w:rPr>
        <w:t>（四）实施考评、盘点程序，完善过程监督</w:t>
      </w:r>
      <w:bookmarkEnd w:id="117"/>
    </w:p>
    <w:p>
      <w:pPr>
        <w:spacing w:line="600" w:lineRule="exact"/>
        <w:ind w:firstLine="600" w:firstLineChars="200"/>
        <w:rPr>
          <w:highlight w:val="yellow"/>
          <w:shd w:val="clear" w:color="auto" w:fill="FFFFFF" w:themeFill="background1"/>
        </w:rPr>
      </w:pPr>
      <w:r>
        <w:rPr>
          <w:rFonts w:hint="eastAsia"/>
          <w:shd w:val="clear" w:color="auto" w:fill="FFFFFF" w:themeFill="background1"/>
        </w:rPr>
        <w:t>购买的防疫物资在存放管理期间，遵循《重庆市梁平区新型冠状病毒感染的肺炎疫情应急物资管理制度》，库存管理人员应定期对库存物资进行核准清点，如每周末或每月末组织盘点程序，及时掌握库存物资情况，避免出现账实不符的情况。应加强对物资采购执行过程中的组织考评检查，对相关管理人员的职责进行监督考核，强化过程监督管理。</w:t>
      </w:r>
    </w:p>
    <w:p>
      <w:pPr>
        <w:spacing w:line="600" w:lineRule="exact"/>
        <w:ind w:firstLine="600" w:firstLineChars="200"/>
        <w:outlineLvl w:val="0"/>
        <w:rPr>
          <w:rFonts w:ascii="黑体" w:hAnsi="黑体" w:eastAsia="黑体" w:cs="宋体"/>
          <w:szCs w:val="30"/>
          <w:shd w:val="clear" w:color="auto" w:fill="FFFFFF" w:themeFill="background1"/>
        </w:rPr>
      </w:pPr>
      <w:bookmarkStart w:id="119" w:name="_Toc6099"/>
      <w:r>
        <w:rPr>
          <w:rFonts w:hint="eastAsia" w:ascii="黑体" w:hAnsi="黑体" w:eastAsia="黑体" w:cs="宋体"/>
          <w:szCs w:val="30"/>
          <w:shd w:val="clear" w:color="auto" w:fill="FFFFFF" w:themeFill="background1"/>
        </w:rPr>
        <w:t>七、其他事项说明</w:t>
      </w:r>
      <w:bookmarkEnd w:id="119"/>
    </w:p>
    <w:p>
      <w:pPr>
        <w:spacing w:line="600" w:lineRule="exact"/>
        <w:ind w:firstLine="600" w:firstLineChars="200"/>
        <w:rPr>
          <w:shd w:val="clear" w:color="auto" w:fill="FFFFFF" w:themeFill="background1"/>
        </w:rPr>
      </w:pPr>
      <w:r>
        <w:rPr>
          <w:rFonts w:hint="eastAsia"/>
          <w:shd w:val="clear" w:color="auto" w:fill="FFFFFF" w:themeFill="background1"/>
        </w:rPr>
        <w:t>绩效评价小组在现场调研期间，收集到区经信委提供的《关于2020年一季度重大决策措施贯彻落实跟踪审计发现问题整改情况报告》，该整改报告系对区审计局跟踪审计发现的2个问题进行整改并以书面形式编写的整改报告。具体问题及整改情况如下：</w:t>
      </w:r>
    </w:p>
    <w:p>
      <w:pPr>
        <w:spacing w:line="600" w:lineRule="exact"/>
        <w:ind w:firstLine="600" w:firstLineChars="200"/>
        <w:rPr>
          <w:rFonts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（一）关于“物资使用率为47.63%，9类物资及积压率超过85%”问题</w:t>
      </w:r>
    </w:p>
    <w:p>
      <w:pPr>
        <w:spacing w:line="600" w:lineRule="exact"/>
        <w:ind w:firstLine="600" w:firstLineChars="200"/>
        <w:rPr>
          <w:shd w:val="clear" w:color="auto" w:fill="FFFFFF" w:themeFill="background1"/>
        </w:rPr>
      </w:pPr>
      <w:r>
        <w:rPr>
          <w:rFonts w:hint="eastAsia"/>
          <w:shd w:val="clear" w:color="auto" w:fill="FFFFFF" w:themeFill="background1"/>
        </w:rPr>
        <w:t>整改落实情况：自3月12日区审计局向</w:t>
      </w:r>
      <w:r>
        <w:rPr>
          <w:rFonts w:hint="eastAsia"/>
          <w:shd w:val="clear" w:color="auto" w:fill="FFFFFF" w:themeFill="background1"/>
          <w:lang w:eastAsia="zh-CN"/>
        </w:rPr>
        <w:t>区经信委</w:t>
      </w:r>
      <w:r>
        <w:rPr>
          <w:rFonts w:hint="eastAsia"/>
          <w:shd w:val="clear" w:color="auto" w:fill="FFFFFF" w:themeFill="background1"/>
        </w:rPr>
        <w:t>反馈了该问题后，</w:t>
      </w:r>
      <w:r>
        <w:rPr>
          <w:rFonts w:hint="eastAsia"/>
          <w:shd w:val="clear" w:color="auto" w:fill="FFFFFF" w:themeFill="background1"/>
          <w:lang w:eastAsia="zh-CN"/>
        </w:rPr>
        <w:t>区经信委</w:t>
      </w:r>
      <w:r>
        <w:rPr>
          <w:rFonts w:hint="eastAsia"/>
          <w:shd w:val="clear" w:color="auto" w:fill="FFFFFF" w:themeFill="background1"/>
        </w:rPr>
        <w:t>积极请示并征得区疫情防控指挥部同意后，又积极向一线发放口罩约4.2万只、消毒用品500公斤、防护服250套、手套10双、测温仪56个。但疫情防控期间，专项工作组、交通、公安及乡镇一线人员口罩日消耗最大达9000余个。为确保疫情结束之前防疫物资充足，按区疫情防控指挥部指示，</w:t>
      </w:r>
      <w:r>
        <w:rPr>
          <w:rFonts w:hint="eastAsia"/>
          <w:shd w:val="clear" w:color="auto" w:fill="FFFFFF" w:themeFill="background1"/>
          <w:lang w:eastAsia="zh-CN"/>
        </w:rPr>
        <w:t>区经信委</w:t>
      </w:r>
      <w:r>
        <w:rPr>
          <w:rFonts w:hint="eastAsia"/>
          <w:shd w:val="clear" w:color="auto" w:fill="FFFFFF" w:themeFill="background1"/>
        </w:rPr>
        <w:t>预留了一批口罩等防疫物资作为应急储备，以备突发情况应急需要。防疫风险等级调低后，剩余防疫物资已于5月12日全数移交区卫健委，由区卫健委统一调配使用。</w:t>
      </w:r>
    </w:p>
    <w:p>
      <w:pPr>
        <w:spacing w:line="600" w:lineRule="exact"/>
        <w:ind w:firstLine="600" w:firstLineChars="200"/>
        <w:rPr>
          <w:rFonts w:ascii="楷体" w:hAnsi="楷体" w:eastAsia="楷体" w:cs="楷体"/>
          <w:szCs w:val="30"/>
          <w:shd w:val="clear" w:color="auto" w:fill="FFFFFF" w:themeFill="background1"/>
        </w:rPr>
      </w:pPr>
      <w:r>
        <w:rPr>
          <w:rFonts w:hint="eastAsia" w:ascii="楷体" w:hAnsi="楷体" w:eastAsia="楷体" w:cs="楷体"/>
          <w:szCs w:val="30"/>
          <w:shd w:val="clear" w:color="auto" w:fill="FFFFFF" w:themeFill="background1"/>
        </w:rPr>
        <w:t>（二）关于“向复工复产企业原价出售应急防疫物资，销售款由企业转账至经信委出纳个人微信账户”问题</w:t>
      </w:r>
    </w:p>
    <w:p>
      <w:pPr>
        <w:spacing w:line="600" w:lineRule="exact"/>
        <w:ind w:firstLine="600" w:firstLineChars="200"/>
        <w:rPr>
          <w:shd w:val="clear" w:color="auto" w:fill="FFFFFF" w:themeFill="background1"/>
        </w:rPr>
      </w:pPr>
      <w:r>
        <w:rPr>
          <w:rFonts w:hint="eastAsia"/>
          <w:shd w:val="clear" w:color="auto" w:fill="FFFFFF" w:themeFill="background1"/>
        </w:rPr>
        <w:t>整改落实情况：</w:t>
      </w:r>
      <w:r>
        <w:rPr>
          <w:rFonts w:hint="eastAsia"/>
          <w:shd w:val="clear" w:color="auto" w:fill="FFFFFF" w:themeFill="background1"/>
          <w:lang w:eastAsia="zh-CN"/>
        </w:rPr>
        <w:t>区经信委</w:t>
      </w:r>
      <w:r>
        <w:rPr>
          <w:rFonts w:hint="eastAsia"/>
          <w:shd w:val="clear" w:color="auto" w:fill="FFFFFF" w:themeFill="background1"/>
        </w:rPr>
        <w:t>已分别于2020年3月27日、4月2日，将所收到的资金6.0895万元分两次全额上缴区财政局县支金库，并对财务人员进行了约谈提醒。此后，区经信委将继续加大资金监管力度，强化财务人员的风险防范意识，杜绝类似问题发生。</w:t>
      </w:r>
    </w:p>
    <w:p>
      <w:pPr>
        <w:spacing w:line="600" w:lineRule="exact"/>
        <w:jc w:val="left"/>
        <w:rPr>
          <w:szCs w:val="30"/>
        </w:rPr>
      </w:pPr>
    </w:p>
    <w:p>
      <w:pPr>
        <w:spacing w:line="600" w:lineRule="exact"/>
        <w:jc w:val="left"/>
        <w:rPr>
          <w:szCs w:val="30"/>
        </w:rPr>
      </w:pPr>
    </w:p>
    <w:p>
      <w:pPr>
        <w:spacing w:line="600" w:lineRule="exact"/>
        <w:ind w:firstLine="600" w:firstLineChars="200"/>
        <w:jc w:val="left"/>
        <w:rPr>
          <w:szCs w:val="30"/>
        </w:rPr>
      </w:pPr>
      <w:r>
        <w:rPr>
          <w:rFonts w:hint="eastAsia"/>
          <w:szCs w:val="30"/>
        </w:rPr>
        <w:t>附件：</w:t>
      </w:r>
      <w:bookmarkEnd w:id="118"/>
    </w:p>
    <w:p>
      <w:pPr>
        <w:spacing w:line="600" w:lineRule="exact"/>
        <w:ind w:firstLine="600" w:firstLineChars="200"/>
        <w:jc w:val="left"/>
        <w:rPr>
          <w:szCs w:val="30"/>
        </w:rPr>
      </w:pPr>
      <w:r>
        <w:rPr>
          <w:rFonts w:hint="eastAsia"/>
          <w:szCs w:val="30"/>
        </w:rPr>
        <w:t>1.梁平区2020年安排防疫物资采购项目绩效评价指标表；</w:t>
      </w:r>
    </w:p>
    <w:p>
      <w:pPr>
        <w:spacing w:line="600" w:lineRule="exact"/>
        <w:ind w:firstLine="600" w:firstLineChars="200"/>
        <w:jc w:val="left"/>
        <w:rPr>
          <w:szCs w:val="30"/>
        </w:rPr>
      </w:pPr>
      <w:r>
        <w:rPr>
          <w:rFonts w:hint="eastAsia"/>
          <w:szCs w:val="30"/>
        </w:rPr>
        <w:t>2.梁平区2020年安排防疫物资采购项目调</w:t>
      </w:r>
      <w:bookmarkStart w:id="120" w:name="_GoBack"/>
      <w:bookmarkEnd w:id="120"/>
      <w:r>
        <w:rPr>
          <w:rFonts w:hint="eastAsia"/>
          <w:szCs w:val="30"/>
        </w:rPr>
        <w:t>查问卷；</w:t>
      </w:r>
    </w:p>
    <w:p>
      <w:pPr>
        <w:spacing w:line="600" w:lineRule="exact"/>
        <w:ind w:firstLine="600" w:firstLineChars="200"/>
        <w:jc w:val="left"/>
        <w:rPr>
          <w:szCs w:val="30"/>
        </w:rPr>
      </w:pPr>
      <w:r>
        <w:rPr>
          <w:rFonts w:hint="eastAsia"/>
          <w:szCs w:val="30"/>
        </w:rPr>
        <w:t>3.梁平区2020年安排防疫物资采购项目访谈记录；</w:t>
      </w:r>
    </w:p>
    <w:p>
      <w:pPr>
        <w:spacing w:line="600" w:lineRule="exact"/>
        <w:ind w:firstLine="600" w:firstLineChars="200"/>
      </w:pPr>
      <w:r>
        <w:rPr>
          <w:rFonts w:hint="eastAsia"/>
        </w:rPr>
        <w:t>4.</w:t>
      </w:r>
      <w:r>
        <w:rPr>
          <w:rFonts w:hint="eastAsia"/>
          <w:szCs w:val="30"/>
        </w:rPr>
        <w:t>梁平区2020年安排防疫物资采购项目图片资料。</w:t>
      </w:r>
    </w:p>
    <w:sectPr>
      <w:footerReference r:id="rId7" w:type="default"/>
      <w:headerReference r:id="rId6" w:type="even"/>
      <w:footerReference r:id="rId8" w:type="even"/>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szCs w:val="28"/>
                            </w:rPr>
                            <w:fldChar w:fldCharType="begin"/>
                          </w:r>
                          <w:r>
                            <w:rPr>
                              <w:rFonts w:hint="eastAsia"/>
                              <w:szCs w:val="28"/>
                            </w:rPr>
                            <w:instrText xml:space="preserve"> PAGE  \* MERGEFORMAT </w:instrText>
                          </w:r>
                          <w:r>
                            <w:rPr>
                              <w:rFonts w:hint="eastAsia"/>
                              <w:szCs w:val="28"/>
                            </w:rPr>
                            <w:fldChar w:fldCharType="separate"/>
                          </w:r>
                          <w:r>
                            <w:rPr>
                              <w:rFonts w:hint="eastAsia"/>
                              <w:szCs w:val="28"/>
                            </w:rPr>
                            <w:t>- 1 -</w:t>
                          </w:r>
                          <w:r>
                            <w:rPr>
                              <w:rFonts w:hint="eastAsia"/>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7"/>
                    </w:pPr>
                    <w:r>
                      <w:rPr>
                        <w:rFonts w:hint="eastAsia"/>
                        <w:szCs w:val="28"/>
                      </w:rPr>
                      <w:fldChar w:fldCharType="begin"/>
                    </w:r>
                    <w:r>
                      <w:rPr>
                        <w:rFonts w:hint="eastAsia"/>
                        <w:szCs w:val="28"/>
                      </w:rPr>
                      <w:instrText xml:space="preserve"> PAGE  \* MERGEFORMAT </w:instrText>
                    </w:r>
                    <w:r>
                      <w:rPr>
                        <w:rFonts w:hint="eastAsia"/>
                        <w:szCs w:val="28"/>
                      </w:rPr>
                      <w:fldChar w:fldCharType="separate"/>
                    </w:r>
                    <w:r>
                      <w:rPr>
                        <w:rFonts w:hint="eastAsia"/>
                        <w:szCs w:val="28"/>
                      </w:rPr>
                      <w:t>- 1 -</w:t>
                    </w:r>
                    <w:r>
                      <w:rPr>
                        <w:rFonts w:hint="eastAsia"/>
                        <w:szCs w:val="28"/>
                      </w:rPr>
                      <w:fldChar w:fldCharType="end"/>
                    </w:r>
                  </w:p>
                </w:txbxContent>
              </v:textbox>
            </v:shape>
          </w:pict>
        </mc:Fallback>
      </mc:AlternateContent>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rPr>
                            <w:t>—</w:t>
                          </w: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r>
                            <w:rPr>
                              <w:rFonts w:hint="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7"/>
                    </w:pPr>
                    <w:r>
                      <w:rPr>
                        <w:rFonts w:hint="eastAsia"/>
                      </w:rPr>
                      <w:t>—</w:t>
                    </w: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r>
                      <w:rPr>
                        <w:rFonts w:hint="eastAsia"/>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F29"/>
    <w:rsid w:val="0001072A"/>
    <w:rsid w:val="00014F99"/>
    <w:rsid w:val="000171E3"/>
    <w:rsid w:val="00026BF1"/>
    <w:rsid w:val="000474CB"/>
    <w:rsid w:val="00077797"/>
    <w:rsid w:val="00091844"/>
    <w:rsid w:val="000B0E91"/>
    <w:rsid w:val="000C612B"/>
    <w:rsid w:val="00107E9A"/>
    <w:rsid w:val="001242AB"/>
    <w:rsid w:val="001262FE"/>
    <w:rsid w:val="00126956"/>
    <w:rsid w:val="00151B54"/>
    <w:rsid w:val="00172A27"/>
    <w:rsid w:val="00174343"/>
    <w:rsid w:val="00185C31"/>
    <w:rsid w:val="00186610"/>
    <w:rsid w:val="001B7020"/>
    <w:rsid w:val="001D0CB1"/>
    <w:rsid w:val="001D449E"/>
    <w:rsid w:val="001F295C"/>
    <w:rsid w:val="001F3314"/>
    <w:rsid w:val="001F435F"/>
    <w:rsid w:val="001F5F62"/>
    <w:rsid w:val="002000B8"/>
    <w:rsid w:val="002245C9"/>
    <w:rsid w:val="00237DEE"/>
    <w:rsid w:val="00250E31"/>
    <w:rsid w:val="002636A3"/>
    <w:rsid w:val="002812CE"/>
    <w:rsid w:val="002C141E"/>
    <w:rsid w:val="002E31CE"/>
    <w:rsid w:val="002F0448"/>
    <w:rsid w:val="002F159F"/>
    <w:rsid w:val="002F3021"/>
    <w:rsid w:val="002F40B7"/>
    <w:rsid w:val="002F77BC"/>
    <w:rsid w:val="00312445"/>
    <w:rsid w:val="00316637"/>
    <w:rsid w:val="003168BE"/>
    <w:rsid w:val="0034082B"/>
    <w:rsid w:val="00344EEE"/>
    <w:rsid w:val="00374A2C"/>
    <w:rsid w:val="003A2545"/>
    <w:rsid w:val="003A2CDE"/>
    <w:rsid w:val="003A6301"/>
    <w:rsid w:val="003C7377"/>
    <w:rsid w:val="003D021F"/>
    <w:rsid w:val="003D31F5"/>
    <w:rsid w:val="003D3E76"/>
    <w:rsid w:val="003F05B6"/>
    <w:rsid w:val="00406BE0"/>
    <w:rsid w:val="0041056B"/>
    <w:rsid w:val="004200B3"/>
    <w:rsid w:val="00420D11"/>
    <w:rsid w:val="004426D4"/>
    <w:rsid w:val="00443F61"/>
    <w:rsid w:val="00457340"/>
    <w:rsid w:val="00463BC2"/>
    <w:rsid w:val="00465927"/>
    <w:rsid w:val="00473A1F"/>
    <w:rsid w:val="00476421"/>
    <w:rsid w:val="00494755"/>
    <w:rsid w:val="00496794"/>
    <w:rsid w:val="004A4E8E"/>
    <w:rsid w:val="004A50DE"/>
    <w:rsid w:val="004B376A"/>
    <w:rsid w:val="004B5467"/>
    <w:rsid w:val="004B7ECB"/>
    <w:rsid w:val="004C0F9A"/>
    <w:rsid w:val="004C1B80"/>
    <w:rsid w:val="004D04C7"/>
    <w:rsid w:val="004D3D1A"/>
    <w:rsid w:val="004D4722"/>
    <w:rsid w:val="004E6BBD"/>
    <w:rsid w:val="004F7E7C"/>
    <w:rsid w:val="00503E09"/>
    <w:rsid w:val="0052005F"/>
    <w:rsid w:val="005233EF"/>
    <w:rsid w:val="005668C1"/>
    <w:rsid w:val="00577F0A"/>
    <w:rsid w:val="005845D2"/>
    <w:rsid w:val="00597963"/>
    <w:rsid w:val="005A5B5E"/>
    <w:rsid w:val="00610D0F"/>
    <w:rsid w:val="00670BA2"/>
    <w:rsid w:val="00672D5B"/>
    <w:rsid w:val="00683193"/>
    <w:rsid w:val="00684FE5"/>
    <w:rsid w:val="006A23D3"/>
    <w:rsid w:val="006A498F"/>
    <w:rsid w:val="006A7062"/>
    <w:rsid w:val="006D17DD"/>
    <w:rsid w:val="006E0156"/>
    <w:rsid w:val="006E087E"/>
    <w:rsid w:val="006E754D"/>
    <w:rsid w:val="006F2B47"/>
    <w:rsid w:val="006F4B7A"/>
    <w:rsid w:val="00710324"/>
    <w:rsid w:val="007333DA"/>
    <w:rsid w:val="00777A4D"/>
    <w:rsid w:val="00782B9D"/>
    <w:rsid w:val="0078467D"/>
    <w:rsid w:val="007A09FD"/>
    <w:rsid w:val="007B3BD8"/>
    <w:rsid w:val="007D04AC"/>
    <w:rsid w:val="007D6CD8"/>
    <w:rsid w:val="007E0832"/>
    <w:rsid w:val="007E1277"/>
    <w:rsid w:val="007E2FE6"/>
    <w:rsid w:val="007F10B8"/>
    <w:rsid w:val="007F7424"/>
    <w:rsid w:val="00803992"/>
    <w:rsid w:val="00806B26"/>
    <w:rsid w:val="00812EBB"/>
    <w:rsid w:val="008713C6"/>
    <w:rsid w:val="00874A23"/>
    <w:rsid w:val="00874DCF"/>
    <w:rsid w:val="00895157"/>
    <w:rsid w:val="008A5266"/>
    <w:rsid w:val="008B7BB7"/>
    <w:rsid w:val="008E79FB"/>
    <w:rsid w:val="008F05FC"/>
    <w:rsid w:val="008F6049"/>
    <w:rsid w:val="009226A4"/>
    <w:rsid w:val="00962259"/>
    <w:rsid w:val="00997CB0"/>
    <w:rsid w:val="009B35D2"/>
    <w:rsid w:val="009E20EA"/>
    <w:rsid w:val="009F06F1"/>
    <w:rsid w:val="00A17E4A"/>
    <w:rsid w:val="00A45253"/>
    <w:rsid w:val="00A552AA"/>
    <w:rsid w:val="00A76569"/>
    <w:rsid w:val="00A9209E"/>
    <w:rsid w:val="00AA161C"/>
    <w:rsid w:val="00AB573D"/>
    <w:rsid w:val="00AD4563"/>
    <w:rsid w:val="00AE2157"/>
    <w:rsid w:val="00AF36E2"/>
    <w:rsid w:val="00AF734E"/>
    <w:rsid w:val="00B20522"/>
    <w:rsid w:val="00B325EB"/>
    <w:rsid w:val="00B8180D"/>
    <w:rsid w:val="00B95200"/>
    <w:rsid w:val="00B9551A"/>
    <w:rsid w:val="00BC30CE"/>
    <w:rsid w:val="00C33AB3"/>
    <w:rsid w:val="00C609E7"/>
    <w:rsid w:val="00C638DC"/>
    <w:rsid w:val="00C9634A"/>
    <w:rsid w:val="00C9785D"/>
    <w:rsid w:val="00CA2D64"/>
    <w:rsid w:val="00CD1E45"/>
    <w:rsid w:val="00CE1CCC"/>
    <w:rsid w:val="00D43613"/>
    <w:rsid w:val="00D51157"/>
    <w:rsid w:val="00D62D1C"/>
    <w:rsid w:val="00D663D7"/>
    <w:rsid w:val="00D93782"/>
    <w:rsid w:val="00DA5BF0"/>
    <w:rsid w:val="00DB4983"/>
    <w:rsid w:val="00DC4038"/>
    <w:rsid w:val="00DC4E26"/>
    <w:rsid w:val="00DE599A"/>
    <w:rsid w:val="00DE70CC"/>
    <w:rsid w:val="00E015DE"/>
    <w:rsid w:val="00E14976"/>
    <w:rsid w:val="00E306BF"/>
    <w:rsid w:val="00E32896"/>
    <w:rsid w:val="00E507FB"/>
    <w:rsid w:val="00E53763"/>
    <w:rsid w:val="00E664AA"/>
    <w:rsid w:val="00E769BA"/>
    <w:rsid w:val="00E90826"/>
    <w:rsid w:val="00E914A2"/>
    <w:rsid w:val="00EA4E5D"/>
    <w:rsid w:val="00EA79DA"/>
    <w:rsid w:val="00EB1E62"/>
    <w:rsid w:val="00EF288F"/>
    <w:rsid w:val="00F00BF7"/>
    <w:rsid w:val="00F43E6F"/>
    <w:rsid w:val="00F61860"/>
    <w:rsid w:val="00F7633F"/>
    <w:rsid w:val="00FA4E9C"/>
    <w:rsid w:val="00FD032B"/>
    <w:rsid w:val="00FD6D26"/>
    <w:rsid w:val="00FE2E0B"/>
    <w:rsid w:val="00FF6307"/>
    <w:rsid w:val="01263CBA"/>
    <w:rsid w:val="014B60FC"/>
    <w:rsid w:val="014D6299"/>
    <w:rsid w:val="015839EC"/>
    <w:rsid w:val="01583A55"/>
    <w:rsid w:val="018B44ED"/>
    <w:rsid w:val="01BF695F"/>
    <w:rsid w:val="01D06DDC"/>
    <w:rsid w:val="022D571D"/>
    <w:rsid w:val="02317850"/>
    <w:rsid w:val="023F6329"/>
    <w:rsid w:val="0243478F"/>
    <w:rsid w:val="02506273"/>
    <w:rsid w:val="026C41F4"/>
    <w:rsid w:val="02712FB8"/>
    <w:rsid w:val="028B5B8A"/>
    <w:rsid w:val="02A06BED"/>
    <w:rsid w:val="02E36E4F"/>
    <w:rsid w:val="030E544E"/>
    <w:rsid w:val="030F3071"/>
    <w:rsid w:val="0314545D"/>
    <w:rsid w:val="0315343F"/>
    <w:rsid w:val="032175E5"/>
    <w:rsid w:val="0325406F"/>
    <w:rsid w:val="03407672"/>
    <w:rsid w:val="0347345C"/>
    <w:rsid w:val="03643876"/>
    <w:rsid w:val="037B3AF8"/>
    <w:rsid w:val="03957782"/>
    <w:rsid w:val="03A36077"/>
    <w:rsid w:val="03B2508B"/>
    <w:rsid w:val="03C37BCD"/>
    <w:rsid w:val="03DC4EA8"/>
    <w:rsid w:val="03E049ED"/>
    <w:rsid w:val="04045C41"/>
    <w:rsid w:val="040A42B3"/>
    <w:rsid w:val="04305A89"/>
    <w:rsid w:val="046C403D"/>
    <w:rsid w:val="04A21C32"/>
    <w:rsid w:val="04BC3F1B"/>
    <w:rsid w:val="04DD71C7"/>
    <w:rsid w:val="0509537A"/>
    <w:rsid w:val="051440EC"/>
    <w:rsid w:val="05194C2D"/>
    <w:rsid w:val="052336D4"/>
    <w:rsid w:val="05274499"/>
    <w:rsid w:val="05367858"/>
    <w:rsid w:val="05441D10"/>
    <w:rsid w:val="054D7553"/>
    <w:rsid w:val="0554591A"/>
    <w:rsid w:val="056B5FF9"/>
    <w:rsid w:val="058D7642"/>
    <w:rsid w:val="05CE325B"/>
    <w:rsid w:val="05DE407D"/>
    <w:rsid w:val="05E53561"/>
    <w:rsid w:val="06143871"/>
    <w:rsid w:val="06174C02"/>
    <w:rsid w:val="062328EC"/>
    <w:rsid w:val="06252D53"/>
    <w:rsid w:val="06391287"/>
    <w:rsid w:val="063A6A62"/>
    <w:rsid w:val="0647192F"/>
    <w:rsid w:val="064903CD"/>
    <w:rsid w:val="06634C24"/>
    <w:rsid w:val="066614C9"/>
    <w:rsid w:val="06694E40"/>
    <w:rsid w:val="0670275B"/>
    <w:rsid w:val="06813E9E"/>
    <w:rsid w:val="068801C0"/>
    <w:rsid w:val="068A5A36"/>
    <w:rsid w:val="068B538A"/>
    <w:rsid w:val="06A5782F"/>
    <w:rsid w:val="06B8719D"/>
    <w:rsid w:val="06E779C9"/>
    <w:rsid w:val="071458E3"/>
    <w:rsid w:val="07151EC4"/>
    <w:rsid w:val="073F436C"/>
    <w:rsid w:val="075B4726"/>
    <w:rsid w:val="0766681D"/>
    <w:rsid w:val="076F1AB0"/>
    <w:rsid w:val="07C32F8D"/>
    <w:rsid w:val="07CA62A0"/>
    <w:rsid w:val="07D016BF"/>
    <w:rsid w:val="0808555C"/>
    <w:rsid w:val="082270E8"/>
    <w:rsid w:val="083C56A3"/>
    <w:rsid w:val="085C2B16"/>
    <w:rsid w:val="089741AF"/>
    <w:rsid w:val="08993104"/>
    <w:rsid w:val="08AC242F"/>
    <w:rsid w:val="08B81342"/>
    <w:rsid w:val="08BD5CCA"/>
    <w:rsid w:val="08C66079"/>
    <w:rsid w:val="08F24AD0"/>
    <w:rsid w:val="0925681E"/>
    <w:rsid w:val="09312980"/>
    <w:rsid w:val="09321C54"/>
    <w:rsid w:val="09542B7F"/>
    <w:rsid w:val="096064A6"/>
    <w:rsid w:val="097D20E0"/>
    <w:rsid w:val="098D045D"/>
    <w:rsid w:val="09B4574C"/>
    <w:rsid w:val="09DC02A2"/>
    <w:rsid w:val="0A1520FC"/>
    <w:rsid w:val="0A7444A7"/>
    <w:rsid w:val="0A782FC9"/>
    <w:rsid w:val="0A8A29DF"/>
    <w:rsid w:val="0A8A34A2"/>
    <w:rsid w:val="0A941970"/>
    <w:rsid w:val="0AA4262F"/>
    <w:rsid w:val="0ABF0606"/>
    <w:rsid w:val="0ACA263F"/>
    <w:rsid w:val="0AF43ABF"/>
    <w:rsid w:val="0B011688"/>
    <w:rsid w:val="0B4C57E8"/>
    <w:rsid w:val="0B51240E"/>
    <w:rsid w:val="0B580743"/>
    <w:rsid w:val="0B8E0EA9"/>
    <w:rsid w:val="0BA405BE"/>
    <w:rsid w:val="0BAA751F"/>
    <w:rsid w:val="0BB902B6"/>
    <w:rsid w:val="0BE972C2"/>
    <w:rsid w:val="0BF63A2D"/>
    <w:rsid w:val="0C256E0E"/>
    <w:rsid w:val="0C283785"/>
    <w:rsid w:val="0C4669BC"/>
    <w:rsid w:val="0C52586C"/>
    <w:rsid w:val="0C540B33"/>
    <w:rsid w:val="0C652B04"/>
    <w:rsid w:val="0C74625D"/>
    <w:rsid w:val="0CC5772B"/>
    <w:rsid w:val="0CE67B41"/>
    <w:rsid w:val="0CFA3BA8"/>
    <w:rsid w:val="0D0F1570"/>
    <w:rsid w:val="0D1A37A6"/>
    <w:rsid w:val="0D391116"/>
    <w:rsid w:val="0D4658A5"/>
    <w:rsid w:val="0D6B2B8C"/>
    <w:rsid w:val="0D701E6A"/>
    <w:rsid w:val="0D7A4283"/>
    <w:rsid w:val="0DB15DC0"/>
    <w:rsid w:val="0DBF6668"/>
    <w:rsid w:val="0DF248EE"/>
    <w:rsid w:val="0E18753F"/>
    <w:rsid w:val="0E2B5B79"/>
    <w:rsid w:val="0E554DA1"/>
    <w:rsid w:val="0E5F2AA7"/>
    <w:rsid w:val="0EB10DF7"/>
    <w:rsid w:val="0EB4498A"/>
    <w:rsid w:val="0EDD5F7A"/>
    <w:rsid w:val="0EEF79C2"/>
    <w:rsid w:val="0EF10852"/>
    <w:rsid w:val="0F073F76"/>
    <w:rsid w:val="0F1A4B67"/>
    <w:rsid w:val="0F256E92"/>
    <w:rsid w:val="0F494151"/>
    <w:rsid w:val="0F511D4C"/>
    <w:rsid w:val="0F8F4F09"/>
    <w:rsid w:val="0F9227EA"/>
    <w:rsid w:val="0FA21376"/>
    <w:rsid w:val="0FA6394E"/>
    <w:rsid w:val="0FC14B0C"/>
    <w:rsid w:val="0FE87C3C"/>
    <w:rsid w:val="100149B6"/>
    <w:rsid w:val="102D0EDF"/>
    <w:rsid w:val="103227F5"/>
    <w:rsid w:val="104608BB"/>
    <w:rsid w:val="10754899"/>
    <w:rsid w:val="10A75A8B"/>
    <w:rsid w:val="10D30072"/>
    <w:rsid w:val="10E8276F"/>
    <w:rsid w:val="10E97DF7"/>
    <w:rsid w:val="10F04473"/>
    <w:rsid w:val="10F05093"/>
    <w:rsid w:val="11135790"/>
    <w:rsid w:val="11354681"/>
    <w:rsid w:val="116B2CEF"/>
    <w:rsid w:val="116E4355"/>
    <w:rsid w:val="11B0051B"/>
    <w:rsid w:val="11B04A39"/>
    <w:rsid w:val="11BE7E1B"/>
    <w:rsid w:val="120C570F"/>
    <w:rsid w:val="122A27D3"/>
    <w:rsid w:val="124F421E"/>
    <w:rsid w:val="125B7ACE"/>
    <w:rsid w:val="12673978"/>
    <w:rsid w:val="12A44063"/>
    <w:rsid w:val="12AA7FEC"/>
    <w:rsid w:val="12B144CD"/>
    <w:rsid w:val="12CB335A"/>
    <w:rsid w:val="12EE0EC2"/>
    <w:rsid w:val="131109F2"/>
    <w:rsid w:val="13206233"/>
    <w:rsid w:val="1341546D"/>
    <w:rsid w:val="134C6CED"/>
    <w:rsid w:val="13C26730"/>
    <w:rsid w:val="13DB1AC1"/>
    <w:rsid w:val="13DB549D"/>
    <w:rsid w:val="13ED28EF"/>
    <w:rsid w:val="13F93594"/>
    <w:rsid w:val="13FB6E0E"/>
    <w:rsid w:val="140731A4"/>
    <w:rsid w:val="140977F9"/>
    <w:rsid w:val="144D3894"/>
    <w:rsid w:val="145B02C6"/>
    <w:rsid w:val="14662B58"/>
    <w:rsid w:val="146C5334"/>
    <w:rsid w:val="147F452C"/>
    <w:rsid w:val="14AB4984"/>
    <w:rsid w:val="14AD3E39"/>
    <w:rsid w:val="14AF0B53"/>
    <w:rsid w:val="14BA36EB"/>
    <w:rsid w:val="14C64210"/>
    <w:rsid w:val="14CE4998"/>
    <w:rsid w:val="14E26973"/>
    <w:rsid w:val="14F36F16"/>
    <w:rsid w:val="15107CEF"/>
    <w:rsid w:val="152D2DDD"/>
    <w:rsid w:val="1545769A"/>
    <w:rsid w:val="15547DDE"/>
    <w:rsid w:val="15604C63"/>
    <w:rsid w:val="158255E6"/>
    <w:rsid w:val="15895864"/>
    <w:rsid w:val="158F0939"/>
    <w:rsid w:val="158F37BC"/>
    <w:rsid w:val="15B03C45"/>
    <w:rsid w:val="15B56DEA"/>
    <w:rsid w:val="15DD49CE"/>
    <w:rsid w:val="15EC7621"/>
    <w:rsid w:val="15FC4A1D"/>
    <w:rsid w:val="16244AA8"/>
    <w:rsid w:val="1648069D"/>
    <w:rsid w:val="164B20AE"/>
    <w:rsid w:val="165176FA"/>
    <w:rsid w:val="16526504"/>
    <w:rsid w:val="1653133B"/>
    <w:rsid w:val="167D44D1"/>
    <w:rsid w:val="169543D2"/>
    <w:rsid w:val="169E0F48"/>
    <w:rsid w:val="16BB7C47"/>
    <w:rsid w:val="16D67848"/>
    <w:rsid w:val="16D96EF3"/>
    <w:rsid w:val="1713677D"/>
    <w:rsid w:val="173C6E3F"/>
    <w:rsid w:val="17462963"/>
    <w:rsid w:val="17487B85"/>
    <w:rsid w:val="174D2C96"/>
    <w:rsid w:val="17504C74"/>
    <w:rsid w:val="17516768"/>
    <w:rsid w:val="177B3E5E"/>
    <w:rsid w:val="17A37FC5"/>
    <w:rsid w:val="17A46AE0"/>
    <w:rsid w:val="17B22CBA"/>
    <w:rsid w:val="17D06BDF"/>
    <w:rsid w:val="17DC5071"/>
    <w:rsid w:val="17DF0B73"/>
    <w:rsid w:val="17E00D91"/>
    <w:rsid w:val="17F00002"/>
    <w:rsid w:val="17F00778"/>
    <w:rsid w:val="18164071"/>
    <w:rsid w:val="182E00C0"/>
    <w:rsid w:val="18382C49"/>
    <w:rsid w:val="18391FF2"/>
    <w:rsid w:val="183A0238"/>
    <w:rsid w:val="184345C4"/>
    <w:rsid w:val="18471075"/>
    <w:rsid w:val="184C232F"/>
    <w:rsid w:val="184E6360"/>
    <w:rsid w:val="186058CC"/>
    <w:rsid w:val="187523FE"/>
    <w:rsid w:val="18844BD9"/>
    <w:rsid w:val="18992AC6"/>
    <w:rsid w:val="18C34AA9"/>
    <w:rsid w:val="18C35356"/>
    <w:rsid w:val="18E60EEB"/>
    <w:rsid w:val="190B1288"/>
    <w:rsid w:val="1980670A"/>
    <w:rsid w:val="19A64A79"/>
    <w:rsid w:val="19C36504"/>
    <w:rsid w:val="19D12399"/>
    <w:rsid w:val="19FB4BCD"/>
    <w:rsid w:val="1A0B791D"/>
    <w:rsid w:val="1A0F5676"/>
    <w:rsid w:val="1A12085B"/>
    <w:rsid w:val="1A1A7D88"/>
    <w:rsid w:val="1A2035BC"/>
    <w:rsid w:val="1A2F09E1"/>
    <w:rsid w:val="1A3856D1"/>
    <w:rsid w:val="1A60695E"/>
    <w:rsid w:val="1A637D4E"/>
    <w:rsid w:val="1A80058C"/>
    <w:rsid w:val="1A955406"/>
    <w:rsid w:val="1AAF63A0"/>
    <w:rsid w:val="1ABF2567"/>
    <w:rsid w:val="1ACD75E2"/>
    <w:rsid w:val="1AF0599D"/>
    <w:rsid w:val="1AF930C4"/>
    <w:rsid w:val="1AFD7773"/>
    <w:rsid w:val="1B0140F6"/>
    <w:rsid w:val="1B092753"/>
    <w:rsid w:val="1B2577B7"/>
    <w:rsid w:val="1B2F7E01"/>
    <w:rsid w:val="1B4309D6"/>
    <w:rsid w:val="1B4C1346"/>
    <w:rsid w:val="1B535199"/>
    <w:rsid w:val="1B691587"/>
    <w:rsid w:val="1B800C04"/>
    <w:rsid w:val="1B8B3B9D"/>
    <w:rsid w:val="1BAC53B2"/>
    <w:rsid w:val="1BAE3F93"/>
    <w:rsid w:val="1BC05C4F"/>
    <w:rsid w:val="1BDA1752"/>
    <w:rsid w:val="1BE770C0"/>
    <w:rsid w:val="1C0A516F"/>
    <w:rsid w:val="1C3C2980"/>
    <w:rsid w:val="1C7F459A"/>
    <w:rsid w:val="1C9A72C8"/>
    <w:rsid w:val="1CC667D5"/>
    <w:rsid w:val="1CCC51DF"/>
    <w:rsid w:val="1CD22D95"/>
    <w:rsid w:val="1CDB25BB"/>
    <w:rsid w:val="1CEE6E0F"/>
    <w:rsid w:val="1CF805E3"/>
    <w:rsid w:val="1D174AD8"/>
    <w:rsid w:val="1D2230C8"/>
    <w:rsid w:val="1D253A6E"/>
    <w:rsid w:val="1D2E3A09"/>
    <w:rsid w:val="1D3E2189"/>
    <w:rsid w:val="1D480EE3"/>
    <w:rsid w:val="1D891A6C"/>
    <w:rsid w:val="1DA27658"/>
    <w:rsid w:val="1DC117CD"/>
    <w:rsid w:val="1DC75960"/>
    <w:rsid w:val="1DFE4B04"/>
    <w:rsid w:val="1E053D4C"/>
    <w:rsid w:val="1E3125D1"/>
    <w:rsid w:val="1E447755"/>
    <w:rsid w:val="1E537DE9"/>
    <w:rsid w:val="1E6E0F52"/>
    <w:rsid w:val="1E7910FC"/>
    <w:rsid w:val="1E8B4168"/>
    <w:rsid w:val="1EA07CB1"/>
    <w:rsid w:val="1ECD1EE3"/>
    <w:rsid w:val="1EDA1C6C"/>
    <w:rsid w:val="1EE803A1"/>
    <w:rsid w:val="1EF04561"/>
    <w:rsid w:val="1EFA44E8"/>
    <w:rsid w:val="1F0F171A"/>
    <w:rsid w:val="1F1A5504"/>
    <w:rsid w:val="1F1D5E97"/>
    <w:rsid w:val="1F303E87"/>
    <w:rsid w:val="1F367936"/>
    <w:rsid w:val="1F394CF0"/>
    <w:rsid w:val="1F453E21"/>
    <w:rsid w:val="1F7B565D"/>
    <w:rsid w:val="1F821C29"/>
    <w:rsid w:val="1F8612B7"/>
    <w:rsid w:val="1F995DD6"/>
    <w:rsid w:val="1FA1022F"/>
    <w:rsid w:val="1FB9747E"/>
    <w:rsid w:val="1FCD53C2"/>
    <w:rsid w:val="1FD13B31"/>
    <w:rsid w:val="1FE739CE"/>
    <w:rsid w:val="1FE74F1F"/>
    <w:rsid w:val="1FE76C6F"/>
    <w:rsid w:val="1FEB2E4B"/>
    <w:rsid w:val="1FF51A5C"/>
    <w:rsid w:val="1FF54617"/>
    <w:rsid w:val="1FF66A37"/>
    <w:rsid w:val="20187C9B"/>
    <w:rsid w:val="201A4D43"/>
    <w:rsid w:val="20216CDF"/>
    <w:rsid w:val="202E75E6"/>
    <w:rsid w:val="204A7B88"/>
    <w:rsid w:val="20861A8E"/>
    <w:rsid w:val="2094427C"/>
    <w:rsid w:val="209F117D"/>
    <w:rsid w:val="20AB7BA6"/>
    <w:rsid w:val="20AE028D"/>
    <w:rsid w:val="20AF7783"/>
    <w:rsid w:val="20B916DA"/>
    <w:rsid w:val="20D25A6F"/>
    <w:rsid w:val="20D90018"/>
    <w:rsid w:val="20EA0BA1"/>
    <w:rsid w:val="210218D8"/>
    <w:rsid w:val="21127BC5"/>
    <w:rsid w:val="212E3EC9"/>
    <w:rsid w:val="214131BF"/>
    <w:rsid w:val="21841813"/>
    <w:rsid w:val="218E22B7"/>
    <w:rsid w:val="218E344A"/>
    <w:rsid w:val="219D2E10"/>
    <w:rsid w:val="21B91DAB"/>
    <w:rsid w:val="21BB4B56"/>
    <w:rsid w:val="21C85B5E"/>
    <w:rsid w:val="21DA6D62"/>
    <w:rsid w:val="21F55BE7"/>
    <w:rsid w:val="22061D3E"/>
    <w:rsid w:val="222F3764"/>
    <w:rsid w:val="223B7322"/>
    <w:rsid w:val="225E55E4"/>
    <w:rsid w:val="22620E19"/>
    <w:rsid w:val="22676DF1"/>
    <w:rsid w:val="22677C93"/>
    <w:rsid w:val="22727534"/>
    <w:rsid w:val="22756D3D"/>
    <w:rsid w:val="22925E55"/>
    <w:rsid w:val="22B1001E"/>
    <w:rsid w:val="22B47630"/>
    <w:rsid w:val="22CE239C"/>
    <w:rsid w:val="22E67DC0"/>
    <w:rsid w:val="22E921B8"/>
    <w:rsid w:val="22FF6191"/>
    <w:rsid w:val="2301318A"/>
    <w:rsid w:val="234965AE"/>
    <w:rsid w:val="237A42C6"/>
    <w:rsid w:val="238549D1"/>
    <w:rsid w:val="239F5847"/>
    <w:rsid w:val="23AF505A"/>
    <w:rsid w:val="23CB2404"/>
    <w:rsid w:val="242F0F03"/>
    <w:rsid w:val="243D0FE4"/>
    <w:rsid w:val="247C0D14"/>
    <w:rsid w:val="24810B0F"/>
    <w:rsid w:val="249D4BCF"/>
    <w:rsid w:val="249D68C7"/>
    <w:rsid w:val="24A443AA"/>
    <w:rsid w:val="24AC7EFA"/>
    <w:rsid w:val="24BA39EF"/>
    <w:rsid w:val="24E37880"/>
    <w:rsid w:val="2503415B"/>
    <w:rsid w:val="250518E4"/>
    <w:rsid w:val="2506683F"/>
    <w:rsid w:val="25211DA8"/>
    <w:rsid w:val="253D1A1F"/>
    <w:rsid w:val="25467B78"/>
    <w:rsid w:val="2564633B"/>
    <w:rsid w:val="257022FA"/>
    <w:rsid w:val="257314AB"/>
    <w:rsid w:val="25763A53"/>
    <w:rsid w:val="25946772"/>
    <w:rsid w:val="25C53A7D"/>
    <w:rsid w:val="260114EA"/>
    <w:rsid w:val="26155359"/>
    <w:rsid w:val="261A47FD"/>
    <w:rsid w:val="26330111"/>
    <w:rsid w:val="26347A2B"/>
    <w:rsid w:val="265707BE"/>
    <w:rsid w:val="265B0C81"/>
    <w:rsid w:val="268A3445"/>
    <w:rsid w:val="268B2B7F"/>
    <w:rsid w:val="26935F40"/>
    <w:rsid w:val="26962049"/>
    <w:rsid w:val="26F132F0"/>
    <w:rsid w:val="271F0DE8"/>
    <w:rsid w:val="275011A8"/>
    <w:rsid w:val="27782009"/>
    <w:rsid w:val="27847A5C"/>
    <w:rsid w:val="27893F74"/>
    <w:rsid w:val="278F450D"/>
    <w:rsid w:val="27A37EA3"/>
    <w:rsid w:val="27C54C6C"/>
    <w:rsid w:val="27C57490"/>
    <w:rsid w:val="27CF5F21"/>
    <w:rsid w:val="27DD372A"/>
    <w:rsid w:val="27F31D17"/>
    <w:rsid w:val="27F43A8B"/>
    <w:rsid w:val="282B75E0"/>
    <w:rsid w:val="283656BC"/>
    <w:rsid w:val="28475964"/>
    <w:rsid w:val="28896619"/>
    <w:rsid w:val="289C5AF8"/>
    <w:rsid w:val="28A47829"/>
    <w:rsid w:val="28C41345"/>
    <w:rsid w:val="28E66C57"/>
    <w:rsid w:val="28ED2A78"/>
    <w:rsid w:val="28FF16AD"/>
    <w:rsid w:val="29066CEE"/>
    <w:rsid w:val="292F5020"/>
    <w:rsid w:val="29642CEF"/>
    <w:rsid w:val="29974E33"/>
    <w:rsid w:val="29B85B22"/>
    <w:rsid w:val="29CE4F46"/>
    <w:rsid w:val="29D51E55"/>
    <w:rsid w:val="29DA480B"/>
    <w:rsid w:val="29DD7EE6"/>
    <w:rsid w:val="29FA579B"/>
    <w:rsid w:val="2A115CE0"/>
    <w:rsid w:val="2A15447A"/>
    <w:rsid w:val="2A716DE9"/>
    <w:rsid w:val="2A746EEE"/>
    <w:rsid w:val="2A765190"/>
    <w:rsid w:val="2A7B3D91"/>
    <w:rsid w:val="2AB467CF"/>
    <w:rsid w:val="2AB65FA7"/>
    <w:rsid w:val="2ACE070E"/>
    <w:rsid w:val="2ADF2CF2"/>
    <w:rsid w:val="2AE17C6F"/>
    <w:rsid w:val="2AEE5B5B"/>
    <w:rsid w:val="2AF244D1"/>
    <w:rsid w:val="2B1D5616"/>
    <w:rsid w:val="2B314154"/>
    <w:rsid w:val="2B382283"/>
    <w:rsid w:val="2B520A1C"/>
    <w:rsid w:val="2B8A19C2"/>
    <w:rsid w:val="2BA009F4"/>
    <w:rsid w:val="2BF8328B"/>
    <w:rsid w:val="2BFF4BB1"/>
    <w:rsid w:val="2C1B168E"/>
    <w:rsid w:val="2C3E2151"/>
    <w:rsid w:val="2C7B0254"/>
    <w:rsid w:val="2C855BC3"/>
    <w:rsid w:val="2CB6358F"/>
    <w:rsid w:val="2CDD448F"/>
    <w:rsid w:val="2CF32B0A"/>
    <w:rsid w:val="2D087594"/>
    <w:rsid w:val="2D115C35"/>
    <w:rsid w:val="2D26775D"/>
    <w:rsid w:val="2D2C44F6"/>
    <w:rsid w:val="2D3C51E1"/>
    <w:rsid w:val="2D3E38DB"/>
    <w:rsid w:val="2D487DA9"/>
    <w:rsid w:val="2D62437D"/>
    <w:rsid w:val="2D7F7F59"/>
    <w:rsid w:val="2D9904BA"/>
    <w:rsid w:val="2D995385"/>
    <w:rsid w:val="2D9F7E0F"/>
    <w:rsid w:val="2DA372EB"/>
    <w:rsid w:val="2DBC2D3B"/>
    <w:rsid w:val="2E16445B"/>
    <w:rsid w:val="2E3A1C42"/>
    <w:rsid w:val="2E3F32B0"/>
    <w:rsid w:val="2E652BF0"/>
    <w:rsid w:val="2E67588F"/>
    <w:rsid w:val="2E7E6DDC"/>
    <w:rsid w:val="2E865BBD"/>
    <w:rsid w:val="2E8B1168"/>
    <w:rsid w:val="2EA22932"/>
    <w:rsid w:val="2EA23593"/>
    <w:rsid w:val="2F077DB7"/>
    <w:rsid w:val="2F22529E"/>
    <w:rsid w:val="2F351F61"/>
    <w:rsid w:val="2F45146C"/>
    <w:rsid w:val="2F5F2CD7"/>
    <w:rsid w:val="2F7F07AA"/>
    <w:rsid w:val="2F8A699D"/>
    <w:rsid w:val="2FAE1853"/>
    <w:rsid w:val="2FAE75D3"/>
    <w:rsid w:val="2FB771DA"/>
    <w:rsid w:val="2FD90A2D"/>
    <w:rsid w:val="2FF12925"/>
    <w:rsid w:val="2FF4007D"/>
    <w:rsid w:val="2FFB36A9"/>
    <w:rsid w:val="30077A91"/>
    <w:rsid w:val="303043EC"/>
    <w:rsid w:val="30415853"/>
    <w:rsid w:val="30435431"/>
    <w:rsid w:val="305C3A16"/>
    <w:rsid w:val="30793E41"/>
    <w:rsid w:val="30A975C2"/>
    <w:rsid w:val="30B766E7"/>
    <w:rsid w:val="30BF773C"/>
    <w:rsid w:val="30E33481"/>
    <w:rsid w:val="30EA1F74"/>
    <w:rsid w:val="30F6509B"/>
    <w:rsid w:val="31105A1C"/>
    <w:rsid w:val="31115311"/>
    <w:rsid w:val="31386F74"/>
    <w:rsid w:val="314B4B96"/>
    <w:rsid w:val="317D78CD"/>
    <w:rsid w:val="318E5BBB"/>
    <w:rsid w:val="31B209D2"/>
    <w:rsid w:val="31E82E0B"/>
    <w:rsid w:val="320B3F38"/>
    <w:rsid w:val="3286407F"/>
    <w:rsid w:val="328E344F"/>
    <w:rsid w:val="32A72197"/>
    <w:rsid w:val="32BB4B5D"/>
    <w:rsid w:val="32BE1082"/>
    <w:rsid w:val="32BE2AED"/>
    <w:rsid w:val="32DD321C"/>
    <w:rsid w:val="32E25EFE"/>
    <w:rsid w:val="32EF3897"/>
    <w:rsid w:val="332C6CA7"/>
    <w:rsid w:val="33440B94"/>
    <w:rsid w:val="33593C19"/>
    <w:rsid w:val="33621BC8"/>
    <w:rsid w:val="33AA69DA"/>
    <w:rsid w:val="33B811B4"/>
    <w:rsid w:val="33E7027B"/>
    <w:rsid w:val="33EF32E8"/>
    <w:rsid w:val="33FE1931"/>
    <w:rsid w:val="34023365"/>
    <w:rsid w:val="34062DEB"/>
    <w:rsid w:val="341967BE"/>
    <w:rsid w:val="342F3592"/>
    <w:rsid w:val="344676C7"/>
    <w:rsid w:val="345F0500"/>
    <w:rsid w:val="34786829"/>
    <w:rsid w:val="34A772D1"/>
    <w:rsid w:val="34AA26A0"/>
    <w:rsid w:val="34BF7564"/>
    <w:rsid w:val="34CC68BB"/>
    <w:rsid w:val="34D82E22"/>
    <w:rsid w:val="34F044EF"/>
    <w:rsid w:val="353532BF"/>
    <w:rsid w:val="35437180"/>
    <w:rsid w:val="3560159E"/>
    <w:rsid w:val="356A73BC"/>
    <w:rsid w:val="358E1DC7"/>
    <w:rsid w:val="359A6010"/>
    <w:rsid w:val="359C51A2"/>
    <w:rsid w:val="35A62F9E"/>
    <w:rsid w:val="35BD358C"/>
    <w:rsid w:val="35CB3348"/>
    <w:rsid w:val="35D24057"/>
    <w:rsid w:val="35DC6183"/>
    <w:rsid w:val="35DF647A"/>
    <w:rsid w:val="35E71D36"/>
    <w:rsid w:val="35FF5389"/>
    <w:rsid w:val="36117CFC"/>
    <w:rsid w:val="3612786B"/>
    <w:rsid w:val="361B5C0F"/>
    <w:rsid w:val="3625528E"/>
    <w:rsid w:val="36364AB6"/>
    <w:rsid w:val="363D0E1F"/>
    <w:rsid w:val="36442E3B"/>
    <w:rsid w:val="36495E12"/>
    <w:rsid w:val="364B0D40"/>
    <w:rsid w:val="36501B2B"/>
    <w:rsid w:val="36605808"/>
    <w:rsid w:val="36756A6E"/>
    <w:rsid w:val="36CB6E5A"/>
    <w:rsid w:val="36CC1D92"/>
    <w:rsid w:val="36D71634"/>
    <w:rsid w:val="36F47C1B"/>
    <w:rsid w:val="370157E8"/>
    <w:rsid w:val="37147FF0"/>
    <w:rsid w:val="37526AFC"/>
    <w:rsid w:val="37780975"/>
    <w:rsid w:val="378A73F8"/>
    <w:rsid w:val="37BC1D5E"/>
    <w:rsid w:val="37C05FAB"/>
    <w:rsid w:val="37EE4C1D"/>
    <w:rsid w:val="37F43870"/>
    <w:rsid w:val="37FA6396"/>
    <w:rsid w:val="37FC12E0"/>
    <w:rsid w:val="38177DE7"/>
    <w:rsid w:val="381C5FE7"/>
    <w:rsid w:val="381D2B3C"/>
    <w:rsid w:val="38214759"/>
    <w:rsid w:val="38271914"/>
    <w:rsid w:val="383C29CC"/>
    <w:rsid w:val="384E57E2"/>
    <w:rsid w:val="38530D7F"/>
    <w:rsid w:val="38933690"/>
    <w:rsid w:val="38B36273"/>
    <w:rsid w:val="38DC0A88"/>
    <w:rsid w:val="38F22A60"/>
    <w:rsid w:val="38FE2DCB"/>
    <w:rsid w:val="39004780"/>
    <w:rsid w:val="392A1AC5"/>
    <w:rsid w:val="3933021B"/>
    <w:rsid w:val="39436FC7"/>
    <w:rsid w:val="395541BF"/>
    <w:rsid w:val="395B62B3"/>
    <w:rsid w:val="39735FC9"/>
    <w:rsid w:val="39763B5F"/>
    <w:rsid w:val="39867C8E"/>
    <w:rsid w:val="39A20815"/>
    <w:rsid w:val="39BA17E5"/>
    <w:rsid w:val="39BB46E4"/>
    <w:rsid w:val="39D35A49"/>
    <w:rsid w:val="3A1476D6"/>
    <w:rsid w:val="3A392851"/>
    <w:rsid w:val="3A560DF1"/>
    <w:rsid w:val="3A591A88"/>
    <w:rsid w:val="3AC64EF4"/>
    <w:rsid w:val="3ACD26F7"/>
    <w:rsid w:val="3AE71C3E"/>
    <w:rsid w:val="3B197BBA"/>
    <w:rsid w:val="3B21612A"/>
    <w:rsid w:val="3B7354A1"/>
    <w:rsid w:val="3B73702A"/>
    <w:rsid w:val="3B8E5604"/>
    <w:rsid w:val="3B8E6D1A"/>
    <w:rsid w:val="3B9A1C90"/>
    <w:rsid w:val="3BD968EB"/>
    <w:rsid w:val="3BDA7E1C"/>
    <w:rsid w:val="3BDB623F"/>
    <w:rsid w:val="3BE54F49"/>
    <w:rsid w:val="3BFB4DD7"/>
    <w:rsid w:val="3C055BA6"/>
    <w:rsid w:val="3C1005F8"/>
    <w:rsid w:val="3C160E89"/>
    <w:rsid w:val="3C63177B"/>
    <w:rsid w:val="3C700760"/>
    <w:rsid w:val="3C9962E6"/>
    <w:rsid w:val="3CAB4528"/>
    <w:rsid w:val="3CBC0120"/>
    <w:rsid w:val="3CBC5EC4"/>
    <w:rsid w:val="3CBD5C2A"/>
    <w:rsid w:val="3CBE171A"/>
    <w:rsid w:val="3CFA054C"/>
    <w:rsid w:val="3CFC1A6F"/>
    <w:rsid w:val="3D076106"/>
    <w:rsid w:val="3D0F0EA3"/>
    <w:rsid w:val="3D262443"/>
    <w:rsid w:val="3D263698"/>
    <w:rsid w:val="3D304072"/>
    <w:rsid w:val="3D3537FD"/>
    <w:rsid w:val="3D5669CD"/>
    <w:rsid w:val="3D5F3F6D"/>
    <w:rsid w:val="3D644037"/>
    <w:rsid w:val="3D6A1C48"/>
    <w:rsid w:val="3D6E1DAD"/>
    <w:rsid w:val="3D9E6F72"/>
    <w:rsid w:val="3DCD47A1"/>
    <w:rsid w:val="3DDA4909"/>
    <w:rsid w:val="3DF14C2E"/>
    <w:rsid w:val="3E0658B8"/>
    <w:rsid w:val="3E3D28D6"/>
    <w:rsid w:val="3E4729BB"/>
    <w:rsid w:val="3E546C5A"/>
    <w:rsid w:val="3E6839B1"/>
    <w:rsid w:val="3E6A42D4"/>
    <w:rsid w:val="3E7056FF"/>
    <w:rsid w:val="3E7B47B7"/>
    <w:rsid w:val="3E8A58FB"/>
    <w:rsid w:val="3EA12EC9"/>
    <w:rsid w:val="3EAC0AA6"/>
    <w:rsid w:val="3ECD0AA8"/>
    <w:rsid w:val="3EE53785"/>
    <w:rsid w:val="3F082743"/>
    <w:rsid w:val="3F132BE7"/>
    <w:rsid w:val="3F232971"/>
    <w:rsid w:val="3F2814B6"/>
    <w:rsid w:val="3F476331"/>
    <w:rsid w:val="3F4B6BFE"/>
    <w:rsid w:val="3F4D4211"/>
    <w:rsid w:val="3F533A81"/>
    <w:rsid w:val="3F5E2877"/>
    <w:rsid w:val="3F755767"/>
    <w:rsid w:val="3F765CAC"/>
    <w:rsid w:val="3F962B63"/>
    <w:rsid w:val="3FA74DAC"/>
    <w:rsid w:val="3FB44EC7"/>
    <w:rsid w:val="3FBF41C4"/>
    <w:rsid w:val="3FC60175"/>
    <w:rsid w:val="3FD07217"/>
    <w:rsid w:val="3FD72F4A"/>
    <w:rsid w:val="3FD747FC"/>
    <w:rsid w:val="3FEB6B47"/>
    <w:rsid w:val="4019287B"/>
    <w:rsid w:val="401D5FAF"/>
    <w:rsid w:val="40365CFB"/>
    <w:rsid w:val="406C2203"/>
    <w:rsid w:val="40735B32"/>
    <w:rsid w:val="40955097"/>
    <w:rsid w:val="40957A71"/>
    <w:rsid w:val="409D114C"/>
    <w:rsid w:val="40AF53C9"/>
    <w:rsid w:val="40B007FB"/>
    <w:rsid w:val="40C0526B"/>
    <w:rsid w:val="40CA36E4"/>
    <w:rsid w:val="40CD6F45"/>
    <w:rsid w:val="4121144D"/>
    <w:rsid w:val="412A78AD"/>
    <w:rsid w:val="412E5C77"/>
    <w:rsid w:val="413276AD"/>
    <w:rsid w:val="413C318A"/>
    <w:rsid w:val="41501269"/>
    <w:rsid w:val="416B7160"/>
    <w:rsid w:val="4177597D"/>
    <w:rsid w:val="417A55A4"/>
    <w:rsid w:val="418211C9"/>
    <w:rsid w:val="41D077A6"/>
    <w:rsid w:val="41DE54DD"/>
    <w:rsid w:val="42165ADE"/>
    <w:rsid w:val="421A1757"/>
    <w:rsid w:val="422333DE"/>
    <w:rsid w:val="42471EEF"/>
    <w:rsid w:val="4252340B"/>
    <w:rsid w:val="425442FA"/>
    <w:rsid w:val="425E6094"/>
    <w:rsid w:val="42620E00"/>
    <w:rsid w:val="426853DE"/>
    <w:rsid w:val="426C27E9"/>
    <w:rsid w:val="42BC296F"/>
    <w:rsid w:val="42DC60A5"/>
    <w:rsid w:val="43482C57"/>
    <w:rsid w:val="43506CA6"/>
    <w:rsid w:val="43656A44"/>
    <w:rsid w:val="436B1A99"/>
    <w:rsid w:val="439811DD"/>
    <w:rsid w:val="43A40356"/>
    <w:rsid w:val="43AD6366"/>
    <w:rsid w:val="43CC45D5"/>
    <w:rsid w:val="43CD33A4"/>
    <w:rsid w:val="44084631"/>
    <w:rsid w:val="446F2E5A"/>
    <w:rsid w:val="44836090"/>
    <w:rsid w:val="449F0730"/>
    <w:rsid w:val="44CE040E"/>
    <w:rsid w:val="44D15BBF"/>
    <w:rsid w:val="44D91373"/>
    <w:rsid w:val="44E16B4F"/>
    <w:rsid w:val="44FB6A13"/>
    <w:rsid w:val="45392943"/>
    <w:rsid w:val="456E6CDC"/>
    <w:rsid w:val="457002E3"/>
    <w:rsid w:val="45735BFD"/>
    <w:rsid w:val="458C3DA5"/>
    <w:rsid w:val="45B6604A"/>
    <w:rsid w:val="45DF3FC3"/>
    <w:rsid w:val="45F43DFE"/>
    <w:rsid w:val="45FD6BD3"/>
    <w:rsid w:val="46005D7F"/>
    <w:rsid w:val="46017711"/>
    <w:rsid w:val="460259A5"/>
    <w:rsid w:val="463F0DEC"/>
    <w:rsid w:val="466A0C5F"/>
    <w:rsid w:val="466A6486"/>
    <w:rsid w:val="466C195E"/>
    <w:rsid w:val="46A90E70"/>
    <w:rsid w:val="46AC12C7"/>
    <w:rsid w:val="46F410D9"/>
    <w:rsid w:val="471A3D96"/>
    <w:rsid w:val="47233307"/>
    <w:rsid w:val="47314F37"/>
    <w:rsid w:val="47407557"/>
    <w:rsid w:val="47510AA6"/>
    <w:rsid w:val="47657E95"/>
    <w:rsid w:val="47697D4D"/>
    <w:rsid w:val="479E5E6A"/>
    <w:rsid w:val="47B14109"/>
    <w:rsid w:val="47BB37BD"/>
    <w:rsid w:val="47C82006"/>
    <w:rsid w:val="47CC5662"/>
    <w:rsid w:val="47DB72B5"/>
    <w:rsid w:val="47DF2553"/>
    <w:rsid w:val="47ED70F6"/>
    <w:rsid w:val="47FE2ED4"/>
    <w:rsid w:val="4810197A"/>
    <w:rsid w:val="482A68F4"/>
    <w:rsid w:val="4836275B"/>
    <w:rsid w:val="484F21ED"/>
    <w:rsid w:val="489A10C2"/>
    <w:rsid w:val="48C9007E"/>
    <w:rsid w:val="48E91839"/>
    <w:rsid w:val="49057968"/>
    <w:rsid w:val="4907660D"/>
    <w:rsid w:val="491E5E87"/>
    <w:rsid w:val="494F2BA1"/>
    <w:rsid w:val="495A14E7"/>
    <w:rsid w:val="49630263"/>
    <w:rsid w:val="496839B1"/>
    <w:rsid w:val="49884DAA"/>
    <w:rsid w:val="49920B91"/>
    <w:rsid w:val="49946D02"/>
    <w:rsid w:val="49B92A5D"/>
    <w:rsid w:val="49C23435"/>
    <w:rsid w:val="49DE7070"/>
    <w:rsid w:val="49E84A43"/>
    <w:rsid w:val="4A025077"/>
    <w:rsid w:val="4A05076C"/>
    <w:rsid w:val="4A243EAE"/>
    <w:rsid w:val="4A2D2916"/>
    <w:rsid w:val="4A3277C4"/>
    <w:rsid w:val="4A5E117E"/>
    <w:rsid w:val="4A687A05"/>
    <w:rsid w:val="4A76201A"/>
    <w:rsid w:val="4A8655BB"/>
    <w:rsid w:val="4A8C4A87"/>
    <w:rsid w:val="4A8E7591"/>
    <w:rsid w:val="4A902C1F"/>
    <w:rsid w:val="4A93695E"/>
    <w:rsid w:val="4A97453A"/>
    <w:rsid w:val="4AB71658"/>
    <w:rsid w:val="4AD95DE1"/>
    <w:rsid w:val="4AEA0680"/>
    <w:rsid w:val="4B013038"/>
    <w:rsid w:val="4B0F74D7"/>
    <w:rsid w:val="4B254220"/>
    <w:rsid w:val="4B2D0449"/>
    <w:rsid w:val="4B2D2A95"/>
    <w:rsid w:val="4B4E493B"/>
    <w:rsid w:val="4B5E7486"/>
    <w:rsid w:val="4B9251C8"/>
    <w:rsid w:val="4BA10B62"/>
    <w:rsid w:val="4BA3128E"/>
    <w:rsid w:val="4BB46FA6"/>
    <w:rsid w:val="4BBD05D1"/>
    <w:rsid w:val="4BBD707F"/>
    <w:rsid w:val="4BD31B30"/>
    <w:rsid w:val="4BF30DCD"/>
    <w:rsid w:val="4BF32A8E"/>
    <w:rsid w:val="4C1A4FB1"/>
    <w:rsid w:val="4C1F03A6"/>
    <w:rsid w:val="4C207C8D"/>
    <w:rsid w:val="4C407E14"/>
    <w:rsid w:val="4C427EB1"/>
    <w:rsid w:val="4C7933E7"/>
    <w:rsid w:val="4CA3680E"/>
    <w:rsid w:val="4CBA3E93"/>
    <w:rsid w:val="4CFF54C5"/>
    <w:rsid w:val="4D0062DE"/>
    <w:rsid w:val="4D5539FD"/>
    <w:rsid w:val="4D57342B"/>
    <w:rsid w:val="4D6424CE"/>
    <w:rsid w:val="4D7A3467"/>
    <w:rsid w:val="4D7A7AAE"/>
    <w:rsid w:val="4D7B3669"/>
    <w:rsid w:val="4D8D519B"/>
    <w:rsid w:val="4D9D1632"/>
    <w:rsid w:val="4DAD0D94"/>
    <w:rsid w:val="4DBB0AF5"/>
    <w:rsid w:val="4DC120DE"/>
    <w:rsid w:val="4DC77556"/>
    <w:rsid w:val="4DC8056E"/>
    <w:rsid w:val="4DC80F78"/>
    <w:rsid w:val="4DC93DFC"/>
    <w:rsid w:val="4DD056A0"/>
    <w:rsid w:val="4DD344FE"/>
    <w:rsid w:val="4DDA7318"/>
    <w:rsid w:val="4DE725A3"/>
    <w:rsid w:val="4E2C2F31"/>
    <w:rsid w:val="4E2F31DB"/>
    <w:rsid w:val="4E7163D6"/>
    <w:rsid w:val="4EA97DF4"/>
    <w:rsid w:val="4EB6799B"/>
    <w:rsid w:val="4EC03A63"/>
    <w:rsid w:val="4EC15626"/>
    <w:rsid w:val="4EEC12A2"/>
    <w:rsid w:val="4EED0805"/>
    <w:rsid w:val="4EFD3C5A"/>
    <w:rsid w:val="4F087DDD"/>
    <w:rsid w:val="4F355E71"/>
    <w:rsid w:val="4F572984"/>
    <w:rsid w:val="4F877066"/>
    <w:rsid w:val="4F916B02"/>
    <w:rsid w:val="4FA73F65"/>
    <w:rsid w:val="4FAD4458"/>
    <w:rsid w:val="4FB609F4"/>
    <w:rsid w:val="4FCE4A0D"/>
    <w:rsid w:val="4FFE30E2"/>
    <w:rsid w:val="50191241"/>
    <w:rsid w:val="506F7FDE"/>
    <w:rsid w:val="5076425F"/>
    <w:rsid w:val="50804F7D"/>
    <w:rsid w:val="508F2612"/>
    <w:rsid w:val="509B5BAE"/>
    <w:rsid w:val="50B300B2"/>
    <w:rsid w:val="50C3374E"/>
    <w:rsid w:val="50DB4717"/>
    <w:rsid w:val="50F043F5"/>
    <w:rsid w:val="50FE2A19"/>
    <w:rsid w:val="511050D3"/>
    <w:rsid w:val="5120143E"/>
    <w:rsid w:val="513F0B8A"/>
    <w:rsid w:val="51527664"/>
    <w:rsid w:val="51615381"/>
    <w:rsid w:val="516612F5"/>
    <w:rsid w:val="51900236"/>
    <w:rsid w:val="5192570B"/>
    <w:rsid w:val="51A41770"/>
    <w:rsid w:val="51A544F4"/>
    <w:rsid w:val="51BF2F0B"/>
    <w:rsid w:val="51F2385D"/>
    <w:rsid w:val="51FE2AE8"/>
    <w:rsid w:val="521F40F2"/>
    <w:rsid w:val="527A1B43"/>
    <w:rsid w:val="5292257F"/>
    <w:rsid w:val="52BB2724"/>
    <w:rsid w:val="52C95C82"/>
    <w:rsid w:val="52CB195F"/>
    <w:rsid w:val="52CC2A10"/>
    <w:rsid w:val="52F23C33"/>
    <w:rsid w:val="5302349D"/>
    <w:rsid w:val="530C442B"/>
    <w:rsid w:val="531923D8"/>
    <w:rsid w:val="53210266"/>
    <w:rsid w:val="533C24DD"/>
    <w:rsid w:val="535B1AC1"/>
    <w:rsid w:val="535B419A"/>
    <w:rsid w:val="536C0F23"/>
    <w:rsid w:val="538A7844"/>
    <w:rsid w:val="538F4FA8"/>
    <w:rsid w:val="53B47144"/>
    <w:rsid w:val="53CE2F41"/>
    <w:rsid w:val="53CE5602"/>
    <w:rsid w:val="53EA40A7"/>
    <w:rsid w:val="54117C31"/>
    <w:rsid w:val="541C07B3"/>
    <w:rsid w:val="5425736C"/>
    <w:rsid w:val="543655E8"/>
    <w:rsid w:val="54444CB1"/>
    <w:rsid w:val="54491DED"/>
    <w:rsid w:val="545366C1"/>
    <w:rsid w:val="547045B9"/>
    <w:rsid w:val="54A301C9"/>
    <w:rsid w:val="54A421CD"/>
    <w:rsid w:val="54A66956"/>
    <w:rsid w:val="54D55DE8"/>
    <w:rsid w:val="54E20234"/>
    <w:rsid w:val="54EF3EB1"/>
    <w:rsid w:val="54F36943"/>
    <w:rsid w:val="54FC55C4"/>
    <w:rsid w:val="550038FE"/>
    <w:rsid w:val="5510709E"/>
    <w:rsid w:val="55127495"/>
    <w:rsid w:val="55165DB2"/>
    <w:rsid w:val="55322EF7"/>
    <w:rsid w:val="55396E49"/>
    <w:rsid w:val="553F6A10"/>
    <w:rsid w:val="556E73A0"/>
    <w:rsid w:val="557E3543"/>
    <w:rsid w:val="55B84C22"/>
    <w:rsid w:val="55CE2BED"/>
    <w:rsid w:val="560C1F48"/>
    <w:rsid w:val="5667785D"/>
    <w:rsid w:val="56685751"/>
    <w:rsid w:val="567A0435"/>
    <w:rsid w:val="568550DE"/>
    <w:rsid w:val="56880B55"/>
    <w:rsid w:val="56AF4B7D"/>
    <w:rsid w:val="56B06A4F"/>
    <w:rsid w:val="56D93AE3"/>
    <w:rsid w:val="56DF0AE3"/>
    <w:rsid w:val="56EA6FFF"/>
    <w:rsid w:val="56F970D5"/>
    <w:rsid w:val="56FC5F5E"/>
    <w:rsid w:val="57042754"/>
    <w:rsid w:val="573C25C6"/>
    <w:rsid w:val="57C720D3"/>
    <w:rsid w:val="57FB2DDA"/>
    <w:rsid w:val="580F11AA"/>
    <w:rsid w:val="58100DC1"/>
    <w:rsid w:val="58322AD9"/>
    <w:rsid w:val="58417C0A"/>
    <w:rsid w:val="585540E0"/>
    <w:rsid w:val="5869499C"/>
    <w:rsid w:val="588734CC"/>
    <w:rsid w:val="588C1E77"/>
    <w:rsid w:val="58A05996"/>
    <w:rsid w:val="58AB424F"/>
    <w:rsid w:val="58BA3FC4"/>
    <w:rsid w:val="58BE6945"/>
    <w:rsid w:val="58C72F81"/>
    <w:rsid w:val="58C9356E"/>
    <w:rsid w:val="58D51C65"/>
    <w:rsid w:val="58DD198B"/>
    <w:rsid w:val="58EA1538"/>
    <w:rsid w:val="58EC7510"/>
    <w:rsid w:val="58EF010A"/>
    <w:rsid w:val="59172459"/>
    <w:rsid w:val="5933251B"/>
    <w:rsid w:val="593E6EBE"/>
    <w:rsid w:val="59435623"/>
    <w:rsid w:val="597E2CFE"/>
    <w:rsid w:val="59A418DF"/>
    <w:rsid w:val="59B05533"/>
    <w:rsid w:val="59B110CE"/>
    <w:rsid w:val="59B22F5F"/>
    <w:rsid w:val="59B41BD6"/>
    <w:rsid w:val="59BA2735"/>
    <w:rsid w:val="59D42090"/>
    <w:rsid w:val="59EE01EA"/>
    <w:rsid w:val="5A165B7F"/>
    <w:rsid w:val="5A227B86"/>
    <w:rsid w:val="5A255AF0"/>
    <w:rsid w:val="5A291C0B"/>
    <w:rsid w:val="5A556B12"/>
    <w:rsid w:val="5A586C0C"/>
    <w:rsid w:val="5A6F656D"/>
    <w:rsid w:val="5A80028A"/>
    <w:rsid w:val="5ABE056E"/>
    <w:rsid w:val="5ADA1D08"/>
    <w:rsid w:val="5AEE0807"/>
    <w:rsid w:val="5B25493B"/>
    <w:rsid w:val="5B381EC9"/>
    <w:rsid w:val="5B543F30"/>
    <w:rsid w:val="5B5533D2"/>
    <w:rsid w:val="5B8E7DC1"/>
    <w:rsid w:val="5BC82FDD"/>
    <w:rsid w:val="5BCF50B1"/>
    <w:rsid w:val="5BD87B99"/>
    <w:rsid w:val="5BE4710D"/>
    <w:rsid w:val="5C6A61E0"/>
    <w:rsid w:val="5C6F5DF6"/>
    <w:rsid w:val="5C706220"/>
    <w:rsid w:val="5C856F72"/>
    <w:rsid w:val="5CAD0E76"/>
    <w:rsid w:val="5CB772DB"/>
    <w:rsid w:val="5CE77E49"/>
    <w:rsid w:val="5D081E45"/>
    <w:rsid w:val="5D1701DC"/>
    <w:rsid w:val="5D346E3D"/>
    <w:rsid w:val="5D8A7282"/>
    <w:rsid w:val="5DA51B65"/>
    <w:rsid w:val="5DBE1F61"/>
    <w:rsid w:val="5E000F17"/>
    <w:rsid w:val="5E01646C"/>
    <w:rsid w:val="5E124018"/>
    <w:rsid w:val="5E223AED"/>
    <w:rsid w:val="5E2A44B0"/>
    <w:rsid w:val="5E527630"/>
    <w:rsid w:val="5E5A4ED4"/>
    <w:rsid w:val="5E721B01"/>
    <w:rsid w:val="5E764A31"/>
    <w:rsid w:val="5E882845"/>
    <w:rsid w:val="5EC04111"/>
    <w:rsid w:val="5EC4091F"/>
    <w:rsid w:val="5ED20EA9"/>
    <w:rsid w:val="5EEF6ED8"/>
    <w:rsid w:val="5F177B83"/>
    <w:rsid w:val="5F3A4475"/>
    <w:rsid w:val="5F4244DC"/>
    <w:rsid w:val="5F46362C"/>
    <w:rsid w:val="5F4B2891"/>
    <w:rsid w:val="5F736552"/>
    <w:rsid w:val="5F7E3A9D"/>
    <w:rsid w:val="5F9D0E87"/>
    <w:rsid w:val="5FA836AA"/>
    <w:rsid w:val="5FBF224A"/>
    <w:rsid w:val="5FDC3826"/>
    <w:rsid w:val="5FF36371"/>
    <w:rsid w:val="5FF50E5F"/>
    <w:rsid w:val="60233321"/>
    <w:rsid w:val="605247D0"/>
    <w:rsid w:val="60662951"/>
    <w:rsid w:val="60E63859"/>
    <w:rsid w:val="61210624"/>
    <w:rsid w:val="61422351"/>
    <w:rsid w:val="614E0782"/>
    <w:rsid w:val="615007A1"/>
    <w:rsid w:val="615C7119"/>
    <w:rsid w:val="61663EB3"/>
    <w:rsid w:val="61792718"/>
    <w:rsid w:val="619949C7"/>
    <w:rsid w:val="619C7082"/>
    <w:rsid w:val="61C529AA"/>
    <w:rsid w:val="61C73D73"/>
    <w:rsid w:val="61E86BFA"/>
    <w:rsid w:val="6200216D"/>
    <w:rsid w:val="620C0A1E"/>
    <w:rsid w:val="623F3C4D"/>
    <w:rsid w:val="624B107A"/>
    <w:rsid w:val="62500930"/>
    <w:rsid w:val="626D12D7"/>
    <w:rsid w:val="6287424F"/>
    <w:rsid w:val="6299138A"/>
    <w:rsid w:val="62A516F3"/>
    <w:rsid w:val="62AA3BAD"/>
    <w:rsid w:val="62B21AB2"/>
    <w:rsid w:val="62E031A6"/>
    <w:rsid w:val="62E51171"/>
    <w:rsid w:val="630757A5"/>
    <w:rsid w:val="633F4F27"/>
    <w:rsid w:val="635A520C"/>
    <w:rsid w:val="635D072F"/>
    <w:rsid w:val="636A1BD2"/>
    <w:rsid w:val="63D97914"/>
    <w:rsid w:val="63E64343"/>
    <w:rsid w:val="6437171E"/>
    <w:rsid w:val="6459606B"/>
    <w:rsid w:val="6469428F"/>
    <w:rsid w:val="64877ED2"/>
    <w:rsid w:val="649B579D"/>
    <w:rsid w:val="64C2779A"/>
    <w:rsid w:val="64D369F1"/>
    <w:rsid w:val="64E27456"/>
    <w:rsid w:val="64F121CE"/>
    <w:rsid w:val="64F84DE1"/>
    <w:rsid w:val="65220A49"/>
    <w:rsid w:val="652270BD"/>
    <w:rsid w:val="65382B94"/>
    <w:rsid w:val="657E4F47"/>
    <w:rsid w:val="658139BC"/>
    <w:rsid w:val="65A3486C"/>
    <w:rsid w:val="66122AEF"/>
    <w:rsid w:val="665576F6"/>
    <w:rsid w:val="66664802"/>
    <w:rsid w:val="667C1D17"/>
    <w:rsid w:val="66BF1E0A"/>
    <w:rsid w:val="66D7658A"/>
    <w:rsid w:val="66D95268"/>
    <w:rsid w:val="66ED5014"/>
    <w:rsid w:val="66FF4E41"/>
    <w:rsid w:val="67085F45"/>
    <w:rsid w:val="674221EC"/>
    <w:rsid w:val="676055CE"/>
    <w:rsid w:val="67640725"/>
    <w:rsid w:val="677032D6"/>
    <w:rsid w:val="67804469"/>
    <w:rsid w:val="678C57D6"/>
    <w:rsid w:val="679B5FA1"/>
    <w:rsid w:val="67C07E3E"/>
    <w:rsid w:val="67D85E23"/>
    <w:rsid w:val="67EC2FD4"/>
    <w:rsid w:val="67FA7801"/>
    <w:rsid w:val="68040840"/>
    <w:rsid w:val="6811447F"/>
    <w:rsid w:val="68264182"/>
    <w:rsid w:val="685C5C41"/>
    <w:rsid w:val="6882070E"/>
    <w:rsid w:val="688B0308"/>
    <w:rsid w:val="68985BD1"/>
    <w:rsid w:val="689F2FF4"/>
    <w:rsid w:val="68A25EBC"/>
    <w:rsid w:val="68BB72FA"/>
    <w:rsid w:val="68D314F1"/>
    <w:rsid w:val="68F64ACD"/>
    <w:rsid w:val="69025BE2"/>
    <w:rsid w:val="690A7D33"/>
    <w:rsid w:val="690B30B2"/>
    <w:rsid w:val="691634CF"/>
    <w:rsid w:val="692A35A0"/>
    <w:rsid w:val="69305B60"/>
    <w:rsid w:val="69BD6173"/>
    <w:rsid w:val="69E85B7D"/>
    <w:rsid w:val="6A1C4B9C"/>
    <w:rsid w:val="6A2B178A"/>
    <w:rsid w:val="6A3D2630"/>
    <w:rsid w:val="6A403A56"/>
    <w:rsid w:val="6A595514"/>
    <w:rsid w:val="6A642BA9"/>
    <w:rsid w:val="6A7915F5"/>
    <w:rsid w:val="6A892947"/>
    <w:rsid w:val="6AAB4E6C"/>
    <w:rsid w:val="6AB952B2"/>
    <w:rsid w:val="6ACA1058"/>
    <w:rsid w:val="6AD0773E"/>
    <w:rsid w:val="6AFD22BB"/>
    <w:rsid w:val="6B246A9E"/>
    <w:rsid w:val="6B343B8B"/>
    <w:rsid w:val="6B3A3733"/>
    <w:rsid w:val="6B652C64"/>
    <w:rsid w:val="6B875B45"/>
    <w:rsid w:val="6BA26CA4"/>
    <w:rsid w:val="6BA80726"/>
    <w:rsid w:val="6BF26A30"/>
    <w:rsid w:val="6BF44F32"/>
    <w:rsid w:val="6C254203"/>
    <w:rsid w:val="6C2C7B76"/>
    <w:rsid w:val="6C2D57F9"/>
    <w:rsid w:val="6C42134F"/>
    <w:rsid w:val="6C6C59FA"/>
    <w:rsid w:val="6C7E1BCD"/>
    <w:rsid w:val="6C926F9F"/>
    <w:rsid w:val="6C965258"/>
    <w:rsid w:val="6CA12F3A"/>
    <w:rsid w:val="6CB865CA"/>
    <w:rsid w:val="6D0B1078"/>
    <w:rsid w:val="6D0C608A"/>
    <w:rsid w:val="6D277775"/>
    <w:rsid w:val="6D483DCD"/>
    <w:rsid w:val="6D6862A7"/>
    <w:rsid w:val="6D863384"/>
    <w:rsid w:val="6DAE6C9B"/>
    <w:rsid w:val="6DC0164F"/>
    <w:rsid w:val="6DD547CC"/>
    <w:rsid w:val="6DEC04FA"/>
    <w:rsid w:val="6DEC1194"/>
    <w:rsid w:val="6E1E32F1"/>
    <w:rsid w:val="6E3C5E1B"/>
    <w:rsid w:val="6E57273A"/>
    <w:rsid w:val="6E5A15C7"/>
    <w:rsid w:val="6E5E301B"/>
    <w:rsid w:val="6E774D92"/>
    <w:rsid w:val="6E7756BF"/>
    <w:rsid w:val="6E7B4BDB"/>
    <w:rsid w:val="6E8733ED"/>
    <w:rsid w:val="6E8C28CC"/>
    <w:rsid w:val="6EA4618E"/>
    <w:rsid w:val="6EAC32C9"/>
    <w:rsid w:val="6EAF6216"/>
    <w:rsid w:val="6ED70B43"/>
    <w:rsid w:val="6ED905E6"/>
    <w:rsid w:val="6EE520CF"/>
    <w:rsid w:val="6F093041"/>
    <w:rsid w:val="6F1C7669"/>
    <w:rsid w:val="6F2B6C5B"/>
    <w:rsid w:val="6F487C91"/>
    <w:rsid w:val="6F8E6E61"/>
    <w:rsid w:val="6F9E348F"/>
    <w:rsid w:val="6FF2338D"/>
    <w:rsid w:val="70124671"/>
    <w:rsid w:val="70125196"/>
    <w:rsid w:val="702B258D"/>
    <w:rsid w:val="70541EC8"/>
    <w:rsid w:val="706F10B3"/>
    <w:rsid w:val="70740C81"/>
    <w:rsid w:val="7075486C"/>
    <w:rsid w:val="70A81C3B"/>
    <w:rsid w:val="70C41266"/>
    <w:rsid w:val="71047CAA"/>
    <w:rsid w:val="71107140"/>
    <w:rsid w:val="7149110B"/>
    <w:rsid w:val="71636728"/>
    <w:rsid w:val="71682B45"/>
    <w:rsid w:val="716D4E2D"/>
    <w:rsid w:val="716F0420"/>
    <w:rsid w:val="71740734"/>
    <w:rsid w:val="71754860"/>
    <w:rsid w:val="71B56441"/>
    <w:rsid w:val="71D83BBB"/>
    <w:rsid w:val="71F5176F"/>
    <w:rsid w:val="71FE53F3"/>
    <w:rsid w:val="71FE5F01"/>
    <w:rsid w:val="71FF77B5"/>
    <w:rsid w:val="720761C1"/>
    <w:rsid w:val="72377F19"/>
    <w:rsid w:val="7262785C"/>
    <w:rsid w:val="727B1AA4"/>
    <w:rsid w:val="72921556"/>
    <w:rsid w:val="72B15904"/>
    <w:rsid w:val="72BC01FE"/>
    <w:rsid w:val="72C66E54"/>
    <w:rsid w:val="72E5588E"/>
    <w:rsid w:val="72EF3876"/>
    <w:rsid w:val="73063BB2"/>
    <w:rsid w:val="731C614D"/>
    <w:rsid w:val="73317FF9"/>
    <w:rsid w:val="733F19A0"/>
    <w:rsid w:val="737A3A8A"/>
    <w:rsid w:val="737C0211"/>
    <w:rsid w:val="73896727"/>
    <w:rsid w:val="73AB50E8"/>
    <w:rsid w:val="73E35018"/>
    <w:rsid w:val="73E85974"/>
    <w:rsid w:val="73F656BE"/>
    <w:rsid w:val="74094199"/>
    <w:rsid w:val="743D2DFE"/>
    <w:rsid w:val="748B6295"/>
    <w:rsid w:val="749D5C22"/>
    <w:rsid w:val="74B3011D"/>
    <w:rsid w:val="74BF20D3"/>
    <w:rsid w:val="74D4165D"/>
    <w:rsid w:val="74EB7D26"/>
    <w:rsid w:val="74F6101F"/>
    <w:rsid w:val="75311B0C"/>
    <w:rsid w:val="75385B39"/>
    <w:rsid w:val="75390D51"/>
    <w:rsid w:val="753B6746"/>
    <w:rsid w:val="75505868"/>
    <w:rsid w:val="75572C05"/>
    <w:rsid w:val="756D4ABD"/>
    <w:rsid w:val="75882082"/>
    <w:rsid w:val="758E47F6"/>
    <w:rsid w:val="759B497A"/>
    <w:rsid w:val="759D49C2"/>
    <w:rsid w:val="75A12449"/>
    <w:rsid w:val="75CF394C"/>
    <w:rsid w:val="75D67F61"/>
    <w:rsid w:val="75D80306"/>
    <w:rsid w:val="75D96587"/>
    <w:rsid w:val="75EC41B6"/>
    <w:rsid w:val="762F39BD"/>
    <w:rsid w:val="76301FCE"/>
    <w:rsid w:val="763C3E54"/>
    <w:rsid w:val="767E4C74"/>
    <w:rsid w:val="7684274D"/>
    <w:rsid w:val="76922E5C"/>
    <w:rsid w:val="7693488A"/>
    <w:rsid w:val="76AD6026"/>
    <w:rsid w:val="76D63816"/>
    <w:rsid w:val="76D647D7"/>
    <w:rsid w:val="76FF3B4F"/>
    <w:rsid w:val="770D3200"/>
    <w:rsid w:val="771F4BF9"/>
    <w:rsid w:val="77222B4A"/>
    <w:rsid w:val="775B07AB"/>
    <w:rsid w:val="77894014"/>
    <w:rsid w:val="77A22BD5"/>
    <w:rsid w:val="77C70AA2"/>
    <w:rsid w:val="77ED62D0"/>
    <w:rsid w:val="780457D9"/>
    <w:rsid w:val="78124539"/>
    <w:rsid w:val="7814181A"/>
    <w:rsid w:val="78143E43"/>
    <w:rsid w:val="78173AD3"/>
    <w:rsid w:val="783E501E"/>
    <w:rsid w:val="78682B52"/>
    <w:rsid w:val="78775BE9"/>
    <w:rsid w:val="78975752"/>
    <w:rsid w:val="78A217B7"/>
    <w:rsid w:val="78BB60A2"/>
    <w:rsid w:val="78D2561E"/>
    <w:rsid w:val="78D368E0"/>
    <w:rsid w:val="78D81945"/>
    <w:rsid w:val="78E71A42"/>
    <w:rsid w:val="78EA1AC6"/>
    <w:rsid w:val="78EB0D01"/>
    <w:rsid w:val="790061F5"/>
    <w:rsid w:val="79055FA7"/>
    <w:rsid w:val="794508CF"/>
    <w:rsid w:val="79950871"/>
    <w:rsid w:val="799A47DD"/>
    <w:rsid w:val="799E3FF9"/>
    <w:rsid w:val="79B0780D"/>
    <w:rsid w:val="79BE3E48"/>
    <w:rsid w:val="79C00144"/>
    <w:rsid w:val="79C1733A"/>
    <w:rsid w:val="79C661D3"/>
    <w:rsid w:val="79C72A14"/>
    <w:rsid w:val="79CC6BD3"/>
    <w:rsid w:val="7A09600B"/>
    <w:rsid w:val="7A0A5E7F"/>
    <w:rsid w:val="7A1C28D0"/>
    <w:rsid w:val="7A291130"/>
    <w:rsid w:val="7A373E87"/>
    <w:rsid w:val="7A3F1028"/>
    <w:rsid w:val="7A427E53"/>
    <w:rsid w:val="7A7D7A49"/>
    <w:rsid w:val="7A7F370C"/>
    <w:rsid w:val="7A804C9B"/>
    <w:rsid w:val="7A97563E"/>
    <w:rsid w:val="7ACC304B"/>
    <w:rsid w:val="7AD549E8"/>
    <w:rsid w:val="7AD81399"/>
    <w:rsid w:val="7ADD41E7"/>
    <w:rsid w:val="7ADF78E8"/>
    <w:rsid w:val="7AE35F50"/>
    <w:rsid w:val="7AFA5AA9"/>
    <w:rsid w:val="7B1233CC"/>
    <w:rsid w:val="7B1319AE"/>
    <w:rsid w:val="7B132A7E"/>
    <w:rsid w:val="7B1C7E21"/>
    <w:rsid w:val="7B3D45A1"/>
    <w:rsid w:val="7B431DF7"/>
    <w:rsid w:val="7B560B5D"/>
    <w:rsid w:val="7B7D72F0"/>
    <w:rsid w:val="7B894123"/>
    <w:rsid w:val="7B8B1825"/>
    <w:rsid w:val="7B932421"/>
    <w:rsid w:val="7B9E4679"/>
    <w:rsid w:val="7BA70B08"/>
    <w:rsid w:val="7BC36B16"/>
    <w:rsid w:val="7BD57D3A"/>
    <w:rsid w:val="7BF143EC"/>
    <w:rsid w:val="7C2B1294"/>
    <w:rsid w:val="7C2B6F17"/>
    <w:rsid w:val="7C326541"/>
    <w:rsid w:val="7C3E10EC"/>
    <w:rsid w:val="7C435024"/>
    <w:rsid w:val="7C567A49"/>
    <w:rsid w:val="7C652D1E"/>
    <w:rsid w:val="7C9875F7"/>
    <w:rsid w:val="7C997E29"/>
    <w:rsid w:val="7CA01688"/>
    <w:rsid w:val="7CAB272F"/>
    <w:rsid w:val="7CDD66EF"/>
    <w:rsid w:val="7CE37D58"/>
    <w:rsid w:val="7D2D12B4"/>
    <w:rsid w:val="7D3A0717"/>
    <w:rsid w:val="7D626BF7"/>
    <w:rsid w:val="7D857D50"/>
    <w:rsid w:val="7D8F1544"/>
    <w:rsid w:val="7D8F4A09"/>
    <w:rsid w:val="7DB966D8"/>
    <w:rsid w:val="7DF057FE"/>
    <w:rsid w:val="7DFA4006"/>
    <w:rsid w:val="7E326267"/>
    <w:rsid w:val="7E3A6DF1"/>
    <w:rsid w:val="7E48145A"/>
    <w:rsid w:val="7E4F387F"/>
    <w:rsid w:val="7E572E37"/>
    <w:rsid w:val="7E6907AB"/>
    <w:rsid w:val="7E916C58"/>
    <w:rsid w:val="7E9E1748"/>
    <w:rsid w:val="7ED002C0"/>
    <w:rsid w:val="7EE307F5"/>
    <w:rsid w:val="7EEB049F"/>
    <w:rsid w:val="7EEB74B5"/>
    <w:rsid w:val="7EF75B76"/>
    <w:rsid w:val="7F496333"/>
    <w:rsid w:val="7F911770"/>
    <w:rsid w:val="7FB55B06"/>
    <w:rsid w:val="7FCC3201"/>
    <w:rsid w:val="7FE55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Times New Roman"/>
      <w:kern w:val="30"/>
      <w:sz w:val="30"/>
      <w:szCs w:val="21"/>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toc 3"/>
    <w:basedOn w:val="1"/>
    <w:next w:val="1"/>
    <w:semiHidden/>
    <w:unhideWhenUsed/>
    <w:qFormat/>
    <w:uiPriority w:val="39"/>
    <w:pPr>
      <w:ind w:left="840" w:leftChars="400"/>
    </w:pPr>
  </w:style>
  <w:style w:type="paragraph" w:styleId="6">
    <w:name w:val="Balloon Text"/>
    <w:basedOn w:val="1"/>
    <w:link w:val="21"/>
    <w:semiHidden/>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2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widowControl/>
      <w:tabs>
        <w:tab w:val="right" w:leader="dot" w:pos="8296"/>
      </w:tabs>
      <w:spacing w:after="100" w:line="259" w:lineRule="auto"/>
      <w:jc w:val="left"/>
    </w:pPr>
    <w:rPr>
      <w:rFonts w:ascii="黑体" w:hAnsi="黑体" w:eastAsia="黑体" w:cs="宋体"/>
      <w:sz w:val="24"/>
      <w:szCs w:val="24"/>
      <w:shd w:val="clear" w:color="auto" w:fill="FFFFFF" w:themeFill="background1"/>
    </w:rPr>
  </w:style>
  <w:style w:type="paragraph" w:styleId="10">
    <w:name w:val="toc 2"/>
    <w:basedOn w:val="1"/>
    <w:next w:val="1"/>
    <w:unhideWhenUsed/>
    <w:qFormat/>
    <w:uiPriority w:val="39"/>
    <w:pPr>
      <w:widowControl/>
      <w:spacing w:after="100" w:line="259" w:lineRule="auto"/>
      <w:ind w:left="220"/>
      <w:jc w:val="left"/>
    </w:pPr>
    <w:rPr>
      <w:kern w:val="0"/>
      <w:sz w:val="22"/>
    </w:rPr>
  </w:style>
  <w:style w:type="table" w:styleId="12">
    <w:name w:val="Table Grid"/>
    <w:basedOn w:val="11"/>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4">
    <w:name w:val="page number"/>
    <w:basedOn w:val="13"/>
    <w:qFormat/>
    <w:uiPriority w:val="0"/>
  </w:style>
  <w:style w:type="paragraph" w:styleId="15">
    <w:name w:val="List Paragraph"/>
    <w:basedOn w:val="1"/>
    <w:qFormat/>
    <w:uiPriority w:val="34"/>
    <w:pPr>
      <w:ind w:firstLine="420" w:firstLineChars="200"/>
    </w:pPr>
  </w:style>
  <w:style w:type="paragraph" w:customStyle="1" w:styleId="16">
    <w:name w:val="Char Char1"/>
    <w:basedOn w:val="2"/>
    <w:next w:val="3"/>
    <w:qFormat/>
    <w:uiPriority w:val="0"/>
    <w:pPr>
      <w:widowControl/>
      <w:spacing w:after="160" w:line="240" w:lineRule="exact"/>
      <w:jc w:val="left"/>
    </w:pPr>
    <w:rPr>
      <w:rFonts w:ascii="Times New Roman" w:eastAsia="宋体"/>
      <w:bCs w:val="0"/>
      <w:szCs w:val="24"/>
    </w:rPr>
  </w:style>
  <w:style w:type="character" w:customStyle="1" w:styleId="17">
    <w:name w:val="标题 1 字符"/>
    <w:basedOn w:val="13"/>
    <w:link w:val="2"/>
    <w:qFormat/>
    <w:uiPriority w:val="9"/>
    <w:rPr>
      <w:rFonts w:ascii="仿宋" w:hAnsi="Times New Roman" w:eastAsia="仿宋" w:cs="Times New Roman"/>
      <w:b/>
      <w:bCs/>
      <w:kern w:val="44"/>
      <w:sz w:val="44"/>
      <w:szCs w:val="44"/>
    </w:rPr>
  </w:style>
  <w:style w:type="character" w:customStyle="1" w:styleId="18">
    <w:name w:val="标题 2 字符"/>
    <w:basedOn w:val="13"/>
    <w:link w:val="3"/>
    <w:semiHidden/>
    <w:qFormat/>
    <w:uiPriority w:val="9"/>
    <w:rPr>
      <w:rFonts w:asciiTheme="majorHAnsi" w:hAnsiTheme="majorHAnsi" w:eastAsiaTheme="majorEastAsia" w:cstheme="majorBidi"/>
      <w:b/>
      <w:bCs/>
      <w:kern w:val="30"/>
      <w:sz w:val="32"/>
      <w:szCs w:val="32"/>
    </w:rPr>
  </w:style>
  <w:style w:type="character" w:customStyle="1" w:styleId="19">
    <w:name w:val="页眉 字符"/>
    <w:basedOn w:val="13"/>
    <w:link w:val="8"/>
    <w:qFormat/>
    <w:uiPriority w:val="99"/>
    <w:rPr>
      <w:rFonts w:ascii="仿宋" w:hAnsi="Times New Roman" w:eastAsia="仿宋" w:cs="Times New Roman"/>
      <w:kern w:val="30"/>
      <w:sz w:val="18"/>
      <w:szCs w:val="18"/>
    </w:rPr>
  </w:style>
  <w:style w:type="character" w:customStyle="1" w:styleId="20">
    <w:name w:val="页脚 字符"/>
    <w:basedOn w:val="13"/>
    <w:link w:val="7"/>
    <w:qFormat/>
    <w:uiPriority w:val="99"/>
    <w:rPr>
      <w:rFonts w:ascii="仿宋" w:hAnsi="仿宋" w:eastAsia="仿宋" w:cs="Times New Roman"/>
      <w:kern w:val="30"/>
      <w:sz w:val="28"/>
      <w:szCs w:val="18"/>
    </w:rPr>
  </w:style>
  <w:style w:type="character" w:customStyle="1" w:styleId="21">
    <w:name w:val="批注框文本 字符"/>
    <w:basedOn w:val="13"/>
    <w:link w:val="6"/>
    <w:semiHidden/>
    <w:qFormat/>
    <w:uiPriority w:val="99"/>
    <w:rPr>
      <w:rFonts w:ascii="仿宋" w:eastAsia="仿宋"/>
      <w:kern w:val="30"/>
      <w:sz w:val="18"/>
      <w:szCs w:val="18"/>
    </w:rPr>
  </w:style>
  <w:style w:type="paragraph" w:customStyle="1" w:styleId="2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Cs w:val="32"/>
    </w:rPr>
  </w:style>
  <w:style w:type="paragraph" w:customStyle="1" w:styleId="23">
    <w:name w:val="WPSOffice手动目录 1"/>
    <w:qFormat/>
    <w:uiPriority w:val="0"/>
    <w:rPr>
      <w:rFonts w:ascii="Times New Roman" w:hAnsi="Times New Roman" w:eastAsia="宋体" w:cs="Times New Roman"/>
      <w:lang w:val="en-US" w:eastAsia="zh-CN" w:bidi="ar-SA"/>
    </w:rPr>
  </w:style>
  <w:style w:type="paragraph" w:customStyle="1" w:styleId="24">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5">
    <w:name w:val="WPSOffice手动目录 3"/>
    <w:qFormat/>
    <w:uiPriority w:val="0"/>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3F9BCF-958E-4A26-96C8-316ACEBC5C52}">
  <ds:schemaRefs/>
</ds:datastoreItem>
</file>

<file path=docProps/app.xml><?xml version="1.0" encoding="utf-8"?>
<Properties xmlns="http://schemas.openxmlformats.org/officeDocument/2006/extended-properties" xmlns:vt="http://schemas.openxmlformats.org/officeDocument/2006/docPropsVTypes">
  <Template>Normal.dotm</Template>
  <Pages>31</Pages>
  <Words>2680</Words>
  <Characters>15280</Characters>
  <Lines>127</Lines>
  <Paragraphs>35</Paragraphs>
  <TotalTime>4</TotalTime>
  <ScaleCrop>false</ScaleCrop>
  <LinksUpToDate>false</LinksUpToDate>
  <CharactersWithSpaces>17925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2020-07-19T04:08:00Z</dcterms:created>
  <dc:creator>xb21cn</dc:creator>
  <cp:lastModifiedBy>胡程程</cp:lastModifiedBy>
  <cp:lastPrinted>2020-07-29T08:11:00Z</cp:lastPrinted>
  <dcterms:modified xsi:type="dcterms:W3CDTF">2021-02-04T00:46:47Z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